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ATA/721/2012 vom 30. Oktober 2012</w:t>
      </w:r>
    </w:p>
    <w:p>
      <w:r>
        <w:t>GE Cour de justice, 2012-10-30, FR</w:t>
      </w:r>
    </w:p>
    <w:p>
      <w:r>
        <w:rPr>
          <w:b/>
        </w:rPr>
        <w:t xml:space="preserve">Quelle: </w:t>
      </w:r>
      <w:r>
        <w:t>https://mcp.opencaselaw.ch/entscheid/ge_gerichte_ATA_721_2012</w:t>
      </w:r>
    </w:p>
    <w:p>
      <w:r>
        <w:t>FR: GE_GERICHTE ATA/721/2012 du 30 octobre 2012</w:t>
      </w:r>
    </w:p>
    <w:p>
      <w:r>
        <w:t>IT: GE_GERICHTE ATA/721/2012 del 30 ottobre 2012</w:t>
      </w:r>
    </w:p>
    <w:p>
      <w:pPr>
        <w:pStyle w:val="Heading2"/>
      </w:pPr>
      <w:r>
        <w:t>Regeste</w:t>
      </w:r>
    </w:p>
    <w:p>
      <w:r>
        <w:t>Résumé: Recours contre l'arrêté du département approuvant l'inscription à l'inventaire de trois bâtiments admis. Annulation de l'arrêté au motif que les frais inhérents à la conservation des bâtiments sont disproportionnés par rapport à leur valeur architecturale. Pour la même raison ils ne peuvent pas être protégés en vertu de l'art. 89 LCI.</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l'inscription à l'inventaire des bâtiments nos B 218, B 220 et B 222, sis aux nos 4 à 8, rue de l'Avenir.</w:t>
      </w:r>
    </w:p>
    <w:p>
      <w:r>
        <w:t>Une lecture attentive de l’ATA/151/2007 précité portant sur le refus de mise à l'inventaire des bâtiments formant l'îlot Sillem (B 184 et B 187), permet de se rendre compte que les immeubles visés par la présente procédure ont été cités dans la partie en fait parce qu'ils se trouvaient dans le même quartier et dataient de la même époque. L'affirmation selon laquelle les trois bâtiments nos 4 à 8 rue de l'Avenir pouvaient mériter une inscription à l'inventaire a été formulée par le représentant du département lors du transport sur place effectué alors. Dans ses considérants, la chambre administrative s'est bornée à constater l'existence de ces trois immeubles, sans préconiser leur inscription à l'inventaire. Aucune prise de position n'a donc été formulée par la juridiction de céans sur les bâtiments nos B 218, B 220 et B 222 et le dispositif de cet arrêt, seul exécutoire, ne porte pas sur ce point. Le SMS, la ville et le département ne peuvent dès lors rien tirer de ces considérants.</w:t>
      </w:r>
    </w:p>
    <w:p>
      <w:r>
        <w:rPr>
          <w:b/>
        </w:rPr>
        <w:t>E. 3</w:t>
      </w:r>
    </w:p>
    <w:p>
      <w:r>
        <w:t>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(let. a). Les immeubles et les sites dignes d'intérêt, ainsi que les beautés naturelles (let. b).</w:t>
      </w:r>
    </w:p>
    <w:p>
      <w:r>
        <w:rPr>
          <w:b/>
        </w:rPr>
        <w:t>E. 4</w:t>
      </w:r>
    </w:p>
    <w:p>
      <w:r>
        <w:t>a. Un monument est toujours un bâtiment,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(ATA/80/2001 du 6 février 2001 ; ATA/280/2000 du 9 mai 2000 et les références citées ; P. VOGEL, La protection des monuments historiques, 1982, p. 24 et les références citées).</w:t>
      </w:r>
    </w:p>
    <w:p>
      <w:r>
        <w:t>- 16/22 - A/591/2011</w:t>
      </w:r>
    </w:p>
    <w:p>
      <w:r>
        <w:t>b. Selon la Charte internationale sur la conservation et la restauration des monuments et des sites, élaborée et adoptée à l'échelle internationale en 1964 à Venise à l'occasion du 2ème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w:t>
      </w:r>
    </w:p>
    <w:p>
      <w:r>
        <w:t>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XIXe siècle et de la nécessité de sauvegarder un patrimoine plus récent, voire contemporain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et les références citées).</w:t>
      </w:r>
    </w:p>
    <w:p>
      <w:r>
        <w:rPr>
          <w:b/>
        </w:rPr>
        <w:t>E. 5</w:t>
      </w:r>
    </w:p>
    <w:p>
      <w:r>
        <w:t>L'art. 7 al. 1 LPMNS prévoit qu'il est dressé un inventaire de tous les immeubles dignes d'être protégés au sens de l'art. 4.</w:t>
      </w:r>
    </w:p>
    <w:p>
      <w:r>
        <w:t>Lorsqu'une procédure de mise à l'inventaire est ouverte, le propriétaire en est informé personnellement. Il est invité à formuler ses observations dans un délai de trente jours à compter de la réception de l'avis (art. 7 al. 3 et 5, 1ère phr. LPMNS ; art. 17 al. 2 du règlement d’exécution de la loi sur la protection</w:t>
      </w:r>
    </w:p>
    <w:p>
      <w:r>
        <w:t>- 17/22 - A/591/2011 des monuments, de la nature et des sites du 29 novembre 1976 (RPMNS - L 4 05.01).</w:t>
      </w:r>
    </w:p>
    <w:p>
      <w:r>
        <w:t>La commune du lieu de situation est également consultée. L'autorité municipale doit communiquer son préavis dans un délai de trente jours à compter de la réception du dossier (art. 8 al. 1 et 2 LPMNS ; art. 17 al. 3 RPMNS).</w:t>
      </w:r>
    </w:p>
    <w:p>
      <w:r>
        <w:t>Enfin,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(ATA/730/2005 du 1er novembre 2005 et les références citées), celui-ci n'ayant qu'un caractère consultatif (ATA/369/2002 du 25 juin 2002).</w:t>
      </w:r>
    </w:p>
    <w:p>
      <w:r>
        <w:rPr>
          <w:b/>
        </w:rPr>
        <w:t>E. 6</w:t>
      </w:r>
    </w:p>
    <w:p>
      <w:r>
        <w:t>a. Selon une jurisprudence bien établie, la chambre de céans observe une certaine retenue pour éviter de substituer sa propre appréciation à celle des commissions de préavis pour autant que l'autorité inférieure suive l'avis de celles-ci.</w:t>
      </w:r>
    </w:p>
    <w:p>
      <w:r>
        <w:t>b.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w:t>
      </w:r>
    </w:p>
    <w:p>
      <w:r>
        <w:t>c. Si la consultation de la CMNS est imposée par la loi, le préavis de cette commission a un poids certain dans l'appréciation qu'est amenée à effectuer l'autorité de recours. En revanche, la chambre administrative ne s'impose pas de réserves face à un préavis négatif de la CMNS lorsque ce dernier a été requis sans nécessité et que l'objet architectural litigieux n'est pas complexe (ATA/529/2012 du 21 août 2012 ; ATA/676/2006 du 19 décembre 2006).</w:t>
      </w:r>
    </w:p>
    <w:p>
      <w:r>
        <w:t>d. Enfin, lorsqu'elle est confrontée à des préavis divergents, la chambre de céans a d'autant moins de raisons de s'imposer une certaine restriction de son propre pouvoir d'examen qu'elle a procédé en l’espèce à un transport sur place (ATA/144/2004 du 10 février 2004 et les références citées).</w:t>
      </w:r>
    </w:p>
    <w:p>
      <w:r>
        <w:rPr>
          <w:b/>
        </w:rPr>
        <w:t>E. 7</w:t>
      </w:r>
    </w:p>
    <w:p>
      <w:r>
        <w:t>Le 16 janvier 2008, la CMNS a rendu un préavis favorable visant l'inscription à l'inventaire des immeubles litigieux au motif qu'il s'agissait d'un témoignage de la première urbanisation et des activités traditionnelles du quartier des Eaux-Vives. De surcroît, l'état des bâtiments était relativement bon. Cependant, cette appréciation reposait pour une large part sur une lecture erronée des considérants de la chambre de céans, relatifs au refus de mise à l'inventaire des immeubles composant l'îlot Sillem (ATA/151/2007 déjà cité). Ce procédé</w:t>
      </w:r>
    </w:p>
    <w:p>
      <w:r>
        <w:t>- 18/22 - A/591/2011 adopté par une commission composée de spécialistes, apparaît à tout le moins curieux. En outre, la présente procédure a permis de démontrer que l'état de conservation des bâtiments était très précaire, ces derniers étant vétustes.</w:t>
      </w:r>
    </w:p>
    <w:p>
      <w:r>
        <w:t>Le conseil administratif de la ville a tout d'abord émis un préavis négatif en date du 5 novembre 2008. Il s'est ravisé environ un an plus tard, émettant un préavis favorable, sans expliquer les raisons de ce revirement. Il a repris les arguments de la CMNS.</w:t>
      </w:r>
    </w:p>
    <w:p>
      <w:r>
        <w:t>En définitive, il résulte des différents documents versés au dossier, ainsi que du transport sur place, que les bâtiments en question sont de facture modeste et n'ont aucune caractéristique architecturale particulière. Certaines boiseries, tant à l'extérieur qu'à l'intérieur, seraient d'origine, sans qu’il soit possible d’en être certain faute de plans ou de photographies de l’époque. Leur mise à l'inventaire se justifierait essentiellement pour des raisons liées à l'histoire de l'urbanisation du quartier. Or, en réalité, lors du morcellement des grandes propriétés des Eaux-Vives, la réalisation des différentes petites unités s'est faite de façon très empirique, sans un véritable plan urbanistique.</w:t>
      </w:r>
    </w:p>
    <w:p>
      <w:r>
        <w:t>En outre, les importantes transformations subies par le quartier ont isolé ces constructions et il convient dès lors de se demander si leur conservation au titre de témoignage historique n'a pas perdu de sa pertinence.</w:t>
      </w:r>
    </w:p>
    <w:p>
      <w:r>
        <w:t>En tout état, la question de savoir si les bâtiments présentent un intérêt au sens de l'art. 4 LPMNS souffre de rester indécise dans la mesure où le recours doit être admis pour un autre motif.</w:t>
      </w:r>
    </w:p>
    <w:p>
      <w:r>
        <w:rPr>
          <w:b/>
        </w:rPr>
        <w:t>E. 8</w:t>
      </w:r>
    </w:p>
    <w:p>
      <w:r>
        <w:t>a. 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 ATA/427/2010 du 22 juin 2010).</w:t>
      </w:r>
    </w:p>
    <w:p>
      <w:r>
        <w:t>b. 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 elle doit au</w:t>
      </w:r>
    </w:p>
    <w:p>
      <w:r>
        <w:t>- 19/22 - A/591/2011 contraire apparaître légitime aux yeux du public ou d'une grande partie de la population, pour avoir en quelque sorte une valeur générale (Arrêt du Tribunal fédéral 1P.28/2004 précité, consid. 2.2.1)</w:t>
      </w:r>
    </w:p>
    <w:p>
      <w:r>
        <w:t>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(Arrêt du Tribunal fédéral 1P.842/2005 précité, consid. 2.4).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w:t>
      </w:r>
    </w:p>
    <w:p>
      <w:r>
        <w:rPr>
          <w:b/>
        </w:rPr>
        <w:t>E. 9</w:t>
      </w:r>
    </w:p>
    <w:p>
      <w:r>
        <w:t>a. Depuis la modification de la LPMNS, entrée en vigueur le 20 octobre 2000, la mise à l'inventaire entraîne l'obligation de maintenir les immeubles et d'en préserver les éléments dignes d'intérêt. L'art. 90 al. 1 LCI,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LPMNS).</w:t>
      </w:r>
    </w:p>
    <w:p>
      <w:r>
        <w:t>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w:t>
      </w:r>
    </w:p>
    <w:p>
      <w:r>
        <w:t>Une mesure d'inscription à l'inventaire impose aux propriétaires des immeubles visés leur maintien et leur conservation afin d'en préserver les éléments dignes d'intérêt. En l'occurrence, tant le transport sur place que les dossiers photographiques ont démontré que les immeubles nos 4 à 8 de la rue de l'Avenir étaient dans un état de délabrement avancé, contrairement à ce qu'avait allégué le département. Il ressort de l'étude effectuée à la demande des recourants en novembre 2011 que les frais nécessaires à leur mise en conformité avec les normes actuelles ainsi que leur adéquation au confort propre à notre époque atteindraient la somme de CHF 17'350'000.-. Ce montant n'a pas été contesté par le département. De surcroît, les travaux envisagés dans l'étude produite par les recourants permettraient de sauvegarder essentiellement les façades et les structures porteuses, la pente même des escaliers n'étant plus conforme et l'isolation du toit étant inexistante.</w:t>
      </w:r>
    </w:p>
    <w:p>
      <w:r>
        <w:t>- 20/22 - A/591/2011</w:t>
      </w:r>
    </w:p>
    <w:p>
      <w:r>
        <w:t>Une première étude réalisée en 2010, et produite par les recourants, portant sur un projet de démolition et de reconstruction d'immeubles sur ces parcelles situait le prix de vente de ces dernières entre CHF 4'600'000.- et CHF 5'100'000.-, voire CHF 5'500'000.-.</w:t>
      </w:r>
    </w:p>
    <w:p>
      <w:r>
        <w:t>Certes, plus un bâtiment est digne d'être conservé, moins les exigences de la rentabilité doivent être prises en compte mais a contrario, moins un bâtiment est digne d'intérêt, plus les exigences de rentabilité doivent entrer en ligne de compte dans la pesée des intérêts en présence.</w:t>
      </w:r>
    </w:p>
    <w:p>
      <w:r>
        <w:rPr>
          <w:b/>
        </w:rPr>
        <w:t>E. 10</w:t>
      </w:r>
    </w:p>
    <w:p>
      <w:r>
        <w:t>En l'occurrence, les trois bâtiments sont de facture modeste, ils ne présentent aucun élément architectural digne d'intérêt. De surcroît, l'urbanisation du quartier des Eaux-Vives les a isolés entre des constructions hétéroclites d'un gabarit plus important qui péjore incontestablement la qualité d'habitation de ces immeubles. Ils sont devenus quelque peu incongrus dans le cadre urbanistique qui les entoure. Le montant nécessaire à leur rénovation apparaît astronomique, en totale disproportion avec le résultat qui pourrait être atteint, seule l'enveloppe extérieure pouvant être sauvegardée, en définitive. Il est significatif que le département n'en ait pas contesté l'ampleur, l'état de délabrement avancé des bâtiments étant apparu clairement lors du transport sur place.</w:t>
      </w:r>
    </w:p>
    <w:p>
      <w:r>
        <w:t>Au vu de l'intérêt patrimonial limité des bâtiments et des très importants coûts qui seraient nécessaires à leur réhabilitation, une mise à l'inventaire apparaît disproportionnée.</w:t>
      </w:r>
    </w:p>
    <w:p>
      <w:r>
        <w:t>En conséquence, en faisant primer l'intérêt au maintien de bâtiments vétustes, sans qualités architecturales particulières et nécessitant de forts investissements financiers de la part des copropriétaires, sur l'intérêt de ces derniers à une utilisation financière optimale de ces bâtiments, le département a mésusé de son pouvoir d'appréciation. Le recours doit ainsi être admis.</w:t>
      </w:r>
    </w:p>
    <w:p>
      <w:r>
        <w:rPr>
          <w:b/>
        </w:rPr>
        <w:t>E. 11</w:t>
      </w:r>
    </w:p>
    <w:p>
      <w:r>
        <w:t>Lors du transport sur place, les représentants de la CMNS ont évoqué la possibilité que les bâtiments sis nos 4-8 rue de l'Avenir soient considérés comme un ensemble au sens de l'art. 89 al. 2 LCI et qu'à ce titre, ils jouissent de la protection conférée par les dispositions visant la protection des ensembles du XIXe siècle et du début du XXe siècle.</w:t>
      </w:r>
    </w:p>
    <w:p>
      <w:r>
        <w:t>Or, la protection conférée par ces dispositions et concrétisée par l'art. 90 al. 1 LCI, applicable également en cas d'inscription à l'inventaire, implique une restriction au droit de propriété, à l'instar des autres mesures de protection du patrimoine. Le raisonnement développé ci-dessus trouve ainsi également application mutatis mutandis.</w:t>
      </w:r>
    </w:p>
    <w:p>
      <w:r>
        <w:t>La chambre de céans a d'ailleurs déjà jugé que même lorsque des immeubles constituaient un ensemble au sens de l'art. 89 al. 2 LCI, s'il était concevable</w:t>
      </w:r>
    </w:p>
    <w:p>
      <w:r>
        <w:t>- 21/22 - A/591/2011 d'imposer à un propriétaire le coût d'une rénovation pour sauvegarder un immeuble d'une valeur architecturale certaine, ou selon les cas, simple témoin d'une époque, une retenue s'imposait lorsqu'il s'agissait d'immeubles sans style ni caractère particulier (ATA/162/1998 du 24 mars 1998).</w:t>
      </w:r>
    </w:p>
    <w:p>
      <w:r>
        <w:t>En l'espèce, au vu de la disproportion entre l'intérêt patrimonial des bâtiments et les frais imposés aux propriétaires pour leur conservation, sans espoir de rentabiliser les travaux entrepris, il apparaît que la protection conférée par les art. 89 ss LCI ne peut ainsi pas être imposée aux propriétaires.</w:t>
      </w:r>
    </w:p>
    <w:p>
      <w:r>
        <w:rPr>
          <w:b/>
        </w:rPr>
        <w:t>E. 12</w:t>
      </w:r>
    </w:p>
    <w:p>
      <w:r>
        <w:t>Au vu de ce qui précède, le recours sera admis. L'arrêté du 17 janvier 2011 approuvant l'inscription à l'inventaire des bâtiments nos B 218, B 220 et B 222 et des parcelles nos 254, 255 et 256 du cadastre de la commune de Genève, section Eaux-Vives, sera annulé. Une indemnité globale de CHF 3'000.- sera allouée aux recourants, à la charge de l'Etat de Genève.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