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ATA/720/2015 vom 13. Juli 2015</w:t>
      </w:r>
    </w:p>
    <w:p>
      <w:r>
        <w:t>GE Cour de justice, 2015-07-13, FR</w:t>
      </w:r>
    </w:p>
    <w:p>
      <w:r>
        <w:rPr>
          <w:b/>
        </w:rPr>
        <w:t xml:space="preserve">Quelle: </w:t>
      </w:r>
      <w:r>
        <w:t>https://mcp.opencaselaw.ch/entscheid/ge_gerichte_ATA_720_2015</w:t>
      </w:r>
    </w:p>
    <w:p>
      <w:r>
        <w:t>FR: GE_GERICHTE ATA/720/2015 du 13 juillet 2015</w:t>
      </w:r>
    </w:p>
    <w:p>
      <w:r>
        <w:t>IT: GE_GERICHTE ATA/720/2015 del 13 luglio 2015</w:t>
      </w:r>
    </w:p>
    <w:p>
      <w:pPr>
        <w:pStyle w:val="Heading2"/>
      </w:pPr>
      <w:r>
        <w:t>Erwägungen</w:t>
      </w:r>
    </w:p>
    <w:p>
      <w:r>
        <w:rPr>
          <w:b/>
        </w:rPr>
        <w:t>E. 12</w:t>
      </w:r>
    </w:p>
    <w:p>
      <w:r>
        <w:t>septembre 1985 - LPA - E 5 10 - et art. 7 al. 1 du règlement interne de la chambre administrative du 26 septembre 2010). 4)</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En l’espèce, sur la base d’un examen prima facie du recours, les violations alléguées du droit d’être entendu, du principe de la bonne foi, de la garantie des droits acquis, du droit à l’égalité de traitement et de l’interdiction de l’arbitraire ne peuvent en tout état de cause pas être constatées d’emblée de manière indiscutable, ce d’autant moins que la loi 11328 fait elle-même l’objet d’un recours pendant auprès de la chambre constitutionnelle tendant à l’abrogation de celle-ci pour des griefs énoncés correspondant à ceux précités. 6)</w:t>
      </w:r>
    </w:p>
    <w:p>
      <w:r>
        <w:t>Le recourant fait valoir son intérêt privé à percevoir l’indemnité supprimée, de manière à pouvoir continuer à assumer ses charges financières, en particulier hypothécaires.</w:t>
      </w:r>
    </w:p>
    <w:p>
      <w:r>
        <w:t>- 6/7 - A/1696/2015</w:t>
      </w:r>
    </w:p>
    <w:p>
      <w:r>
        <w:t>Il ressort des pièces produites par l’intéressé que son traitement est actuellement fixé en classe 27 annuité 11, représentant un montant mensuel brut de CHF 13'774.25, auquel s’ajoutait jusqu’au 31 mars 2015 l’indemnité prévue par l’art. 23A LTrait abrogé, soit un montant de CHF 1'143.30. Entre le mois de mars et le mois d’avril 2015, son revenu mensuel brut est ainsi passé de CHF 14'917.55 à CHF 13'774.25, tandis que son revenu mensuel net passait de CHF 12'399.75 à CHF 11'322.70, soit CHF 1'077.05 de moins. Une telle diminution n’est pas négligeable. Le montant disponible demeure toutefois important et ne permet de retenir d’emblée que la suppression de l’indemnité en cause est de nature à compromettre gravement les intérêts financiers du recourant. À cet égard, ce dernier indique - au demeurant sans aucun justificatif - être désormais confronté à des difficultés financières du fait des charges hypothécaires qu’il doit assumer.</w:t>
      </w:r>
    </w:p>
    <w:p>
      <w:r>
        <w:t>Le recourant ne fournit toutefois pas d’éléments permettant de retenir que la suppression immédiate de l’indemnité perçue jusqu’au 31 mars 2015 entraîne des conséquences particulièrement dommageables.</w:t>
      </w:r>
    </w:p>
    <w:p>
      <w:r>
        <w:t>S’agissant ainsi d’intérêts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(ATA7300/2015 du 24 mars 2015 et les références citées). Il y a en effet une incertitude quant à la capacité de M. A______ à rembourser les montants perçus en case de confirmation de la décision querellée alors que l’État de Genève serait à même de verser les montants dus en cas d’issue favorable du recours, cela même si la cause ne pourrait être tranchée rapidement. 7)</w:t>
      </w:r>
    </w:p>
    <w:p>
      <w:r>
        <w:t>Au vu de ce qui précède, la demande de restitution de l’effet suspensif au recours sera refusée, le sort des frais de la procédure étant réservé jusqu’à droit jugé au fond.</w:t>
      </w:r>
    </w:p>
    <w:p>
      <w:r>
        <w:t>LA CHAMBRE ADMINISTRATIVE rejette la demande de restitution de l’effet suspensif au recours formé par M.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w:t>
      </w:r>
    </w:p>
    <w:p>
      <w:r>
        <w:t>- 7/7 - A/1696/2015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Sébastien Collart, avocat du recourant, ainsi qu'au Conseil d'État.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