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ATA/720/2011 vom 22. November 2011</w:t>
      </w:r>
    </w:p>
    <w:p>
      <w:r>
        <w:t>GE Cour de justice, 2011-11-22, FR</w:t>
      </w:r>
    </w:p>
    <w:p>
      <w:r>
        <w:rPr>
          <w:b/>
        </w:rPr>
        <w:t xml:space="preserve">Quelle: </w:t>
      </w:r>
      <w:r>
        <w:t>https://mcp.opencaselaw.ch/entscheid/ge_gerichte_ATA_720_2011</w:t>
      </w:r>
    </w:p>
    <w:p>
      <w:r>
        <w:t>FR: GE_GERICHTE ATA/720/2011 du 22 novembre 2011</w:t>
      </w:r>
    </w:p>
    <w:p>
      <w:r>
        <w:t>IT: GE_GERICHTE ATA/720/2011 del 22 novembre 2011</w:t>
      </w:r>
    </w:p>
    <w:p>
      <w:pPr>
        <w:pStyle w:val="Heading2"/>
      </w:pPr>
      <w:r>
        <w:t>Regeste</w:t>
      </w:r>
    </w:p>
    <w:p>
      <w:r>
        <w:t>Résumé: Les conditions d'un cas de rigueur doivent être réalisées en la personne de l'intéressé et non de ses proches. Ne constitue pas un tel cas le fait que le seul moyen pour le recourant d'améliorer sa situation personnelle et celle de sa famille restée aux Philippines soit pour lui de demeurer en Suisse et d'y exercer une activité professionnelle.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Tel qu’il est garanti par l’art. 29 al. 2 de la Constitution fédérale de la Confédération suisse du 18 avril 1999 (Cst. - RS 101), le droit d’être entendu</w:t>
      </w:r>
    </w:p>
    <w:p>
      <w:r>
        <w:t>- 8/13 - A/3537/2009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w:t>
      </w:r>
    </w:p>
    <w:p>
      <w:r>
        <w:rPr>
          <w:b/>
        </w:rPr>
        <w:t>E. 6</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t>- 9/13 - A/3537/2009</w:t>
      </w:r>
    </w:p>
    <w:p>
      <w:r>
        <w:rPr>
          <w:b/>
        </w:rPr>
        <w:t>E. 7</w:t>
      </w:r>
    </w:p>
    <w:p>
      <w:r>
        <w:t>Le séjour en Suisse en vue d’y exercer une activité lucrative est soumis à autorisation (art. 11 renvoyant aux art. 18 ss LEtr). Cette dernière doit être requise auprès du canton de prise d’emploi (art. 11 al. 1 LEtr).</w:t>
      </w:r>
    </w:p>
    <w:p>
      <w:r>
        <w:rPr>
          <w:b/>
        </w:rPr>
        <w:t>E. 8</w:t>
      </w:r>
    </w:p>
    <w:p>
      <w:r>
        <w:t>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w:t>
      </w:r>
    </w:p>
    <w:p>
      <w:r>
        <w:t>- 10/13 - A/3537/2009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ATA/639/2011 du 11 octobre 2011 ; ATA/774/2010 du 9 novembre 2010).</w:t>
      </w:r>
    </w:p>
    <w:p>
      <w:r>
        <w:rPr>
          <w:b/>
        </w:rPr>
        <w:t>E. 9</w:t>
      </w:r>
    </w:p>
    <w:p>
      <w:r>
        <w:t>En l’espèce, M. N______ a tout d’abord séjourné et travaillé sans autorisation jusqu’à ce qu’il obtienne de l’OCP le 27 août 2008 la possibilité de travailler auprès de E______ S.A. Jusqu’alors, M. N______ a contrevenu à la législation suisse et, de jurisprudence constante, la durée du séjour illégal ne peut être prise en considération dans l’examen d’un cas de rigueur car si tel était le cas, « l’obstination à violer la législation en vigueur serait en quelque sorte récompensée » (Arrêts du Tribunal administratif fédéral C-6051/2008 et C- 6098/2008 du 9 juillet 2010, consid. 6.4).</w:t>
      </w:r>
    </w:p>
    <w:p>
      <w:r>
        <w:rPr>
          <w:b/>
        </w:rPr>
        <w:t>E. 10</w:t>
      </w:r>
    </w:p>
    <w:p>
      <w:r>
        <w:t>Le recourant allègue que le fait de demeurer en Suisse et d’y exercer une activité professionnelle est le seul moyen pour lui d’améliorer non seulement sa situation personnelle, mais également celle de toute sa famille demeurée aux Philippines, et par là même d’assumer la prise en charge des frais médicaux que son propre état de santé, de même que celui de son épouse et de ses enfants, nécessitent.</w:t>
      </w:r>
    </w:p>
    <w:p>
      <w:r>
        <w:t>Or, les problèmes de santé du recourant tels qu’ils ont été décrits par la Dresse Nguyen ne sont pas d’une gravité telle que l’intéressé ne pourrait pas bénéficier dans son pays d’origine des soins nécessaires. Il en est de même de ceux rencontrés par son épouse et par sa fille, attestés par l’affidavit de Mme A______, leur fille souffrant d’asthme. Or, le seul fait de bénéficier en Suisse de meilleures prestations médicales que celles offertes dans le pays d’origine ne suffit pas à justifier une exception aux mesures de limitation (ATF 128 II 200 consid. 5.3 et les références citées).</w:t>
      </w:r>
    </w:p>
    <w:p>
      <w:r>
        <w:t>Enfin, pour qu’un cas de rigueur soit réalisé, il faut que les conditions requises pour celui-ci soient réunies dans la personne de l’intéressé et non pas dans celle de ses proches, comme invoqué en l’espèce (Arrêt du Tribunal administratif fédéral C-3099/2009 du 30 avril 2010, consid. 5.5).</w:t>
      </w:r>
    </w:p>
    <w:p>
      <w:r>
        <w:t>- 11/13 - A/3537/2009</w:t>
      </w:r>
    </w:p>
    <w:p>
      <w:r>
        <w:rPr>
          <w:b/>
        </w:rPr>
        <w:t>E. 11</w:t>
      </w:r>
    </w:p>
    <w:p>
      <w:r>
        <w:t>Le recourant vit certes depuis de nombreuses années en Suisse. Malgré cela, il maîtrise mal la langue française, quand bien même il a indiqué suivre des cours depuis deux ans, étant précisé qu’il a lui-même sollicité la présence d’un interprète en langue anglaise pour être entendu devant la chambre de céans. De plus, si son intégration sur le plan professionnel est méritoire, elle n’est pas telle qu’elle puisse être qualifiée d’exceptionnelle. Par ailleurs, les qualifications obtenues dans l’exercice de la profession de bijoutier pourraient tout à fait être utilisées par l’intéressé dans son pays d’origine.</w:t>
      </w:r>
    </w:p>
    <w:p>
      <w:r>
        <w:t>Quant à son intégration sociale à Genève, M. N______ a bien déclaré lors de l’audience de comparution personnelle du 2 septembre 2011 qu’il fréquentait l’église catholique et faisait partie d’un club de vélo, ce qu’il n’y a pas lieu de mettre en doute, mais qui n’est étayé par aucune pièce.</w:t>
      </w:r>
    </w:p>
    <w:p>
      <w:r>
        <w:rPr>
          <w:b/>
        </w:rPr>
        <w:t>E. 12</w:t>
      </w:r>
    </w:p>
    <w:p>
      <w:r>
        <w:t>En outre, le recourant n’a allégué à aucun moment que le renvoi dans son pays d’origine contreviendrait à l’art. 83 LEtr. Il faut donc admettre qu’un tel renvoi n’est ni impossible, ni illicite et qu’il peut être raisonnablement exigé, même si les conséquences d’un tel retour seraient difficiles sur le plan financier pour toute la famille du recourant.</w:t>
      </w:r>
    </w:p>
    <w:p>
      <w:r>
        <w:rPr>
          <w:b/>
        </w:rPr>
        <w:t>E. 13</w:t>
      </w:r>
    </w:p>
    <w:p>
      <w:r>
        <w:t>Au vu de ce qui précède, le recours sera rejeté. Un émolument de CHF 400.-, comprenant les frais d’interprète à hauteur de CHF 100.-, sera mis à la charge du recourant, qui succombe.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