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ATA/71/2019 vom 22. Januar 2019</w:t>
      </w:r>
    </w:p>
    <w:p>
      <w:r>
        <w:t>GE Cour de justice, 2019-01-22, FR</w:t>
      </w:r>
    </w:p>
    <w:p>
      <w:r>
        <w:rPr>
          <w:b/>
        </w:rPr>
        <w:t xml:space="preserve">Quelle: </w:t>
      </w:r>
      <w:r>
        <w:t>https://mcp.opencaselaw.ch/entscheid/ge_gerichte_ATA_71_2019</w:t>
      </w:r>
    </w:p>
    <w:p>
      <w:r>
        <w:t>FR: GE_GERICHTE ATA/71/2019 du 22 janvier 2019</w:t>
      </w:r>
    </w:p>
    <w:p>
      <w:r>
        <w:t>IT: GE_GERICHTE ATA/71/2019 del 22 gennaio 2019</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3. a. Le litige concerne les périodes fiscales 2010, 2011 et 2012, tant en matière d’IFD que d’ICC.</w:t>
      </w:r>
    </w:p>
    <w:p>
      <w:r>
        <w:t>b. De jurisprudence constante, les questions de droit matériel sont résolues en fonction du droit en vigueur lors des périodes fiscales litigieuses. Le rappel d’impôt relevant du droit matériel, le droit applicable obéit aux mêmes règles (ATA/859/2018 du 21 août 2018 et les références citées).</w:t>
      </w:r>
    </w:p>
    <w:p>
      <w:r>
        <w:t>c. Le litige porte sur la procédure en rappel et soustraction d’impôt pour les périodes fiscales 2010 et 2011 ainsi qu’en taxation ordinaire pour la période fiscale 2012. La cause est aussi régie par les dispositions de la LIFD et celles de la loi sur l’imposition des personnes morales du 23 septembre 1994 (LIPM - D 3 15).</w:t>
      </w:r>
    </w:p>
    <w:p>
      <w:r>
        <w:t>d. Par ailleurs, la question étant traitée de la même manière en droit fédéral et en droit cantonal harmonisé, le présent arrêt traite simultanément des deux impôts, comme l’admet la jurisprudence (ATA/379/2018 du 24 avril 2018 et les références citées). 4. a. La recourante se plaint d’une violation du droit d’être entendue, le TAPI n’ayant pas donné suite à sa demande d’audition de M. K______.</w:t>
      </w:r>
    </w:p>
    <w:p>
      <w:r>
        <w:t>b. Le droit d’être entendu, tel qu’il est garanti par l’art. 29 al. 2 de la Constitution fédérale de la Confédération suisse du 18 avril 1999 (Cst. - RS 101), comprend notamment le droit de produire des preuves pertinentes, d’obtenir qu’il soit donné suite à des offres de preuves pertinentes, de participer à</w:t>
      </w:r>
    </w:p>
    <w:p>
      <w:r>
        <w:t>- 7/13 - A/2647/2016 l’administration des preuves essentielles ou à tout le moins de s’exprimer sur son résultat, lorsque cela est de nature à influer sur la décision à rendre (ATF 140 I 285 consid. 6.3.1). L’art. 29 al. 2 Cst. n’exclut pas une appréciation anticipée des preuves. Le juge peut ainsi refuser une mesure probatoire lorsque celle-ci ne serait pas de nature à modifier le résultat des preuves déjà administrées, qu’il tient pour acquis (arrêt du Tribunal fédéral 1C_686/2017 précité consid. 3.1 et les références citées).</w:t>
      </w:r>
    </w:p>
    <w:p>
      <w:r>
        <w:t>En l’espèce, le TAPI a estimé que le dossier renfermait les éléments utiles à sa détermination sans procéder à l’audition de M. K______. Ce dernier, père des associés de la recourante, ne peut être entendu qu’à titre de renseignement. La recourante, qui sollicite son audition pour appuyer ses allégations, ne prétend pas que l’intéressé serait à même de produire des pièces qui ne seraient pas déjà versées au dossier, ce qui, au demeurant, soulèverait une question de recevabilité de celles-ci à ce stade de la procédure. Eu égard aux circonstances du cas d’espèce, on voit mal que M. K______ contredise l’argumentation de la recourante, dont ses enfants sont les associés. Dans ces circonstances, le TAPI pouvait, sans mésuser de son pouvoir d’appréciation, estimer que cette audition ne serait pas à même d’apporter des éléments nouveaux pertinents au dossier et, en conséquence, renoncer à cet acte d’instruction.</w:t>
      </w:r>
    </w:p>
    <w:p>
      <w:r>
        <w:t>Le grief est ainsi mal fondé. 5. a. La recourante soutient que les dépenses de M. K______ en 2010, 2011 et 2012, réglées au moyen de la carte de crédit d’entreprise au nom de ce dernier, sont justifiées par l’usage commercial.</w:t>
      </w:r>
    </w:p>
    <w:p>
      <w:r>
        <w:t>b.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5ème tiret).</w:t>
      </w:r>
    </w:p>
    <w:p>
      <w:r>
        <w:t>c.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w:t>
      </w:r>
    </w:p>
    <w:p>
      <w:r>
        <w:t>d. Dans le canton de Genève, en matière d’ICC, l’art. 12 LIPM, dans sa teneur au moment des taxations en cause (ATA/859/2018 précité et la référence citée), prévoit que le bénéfice net imposable est celui qui résulte du compte de pertes et</w:t>
      </w:r>
    </w:p>
    <w:p>
      <w:r>
        <w:t>- 8/13 - A/2647/2016 profits (art. 12 let. a LIPM), augmenté de certains prélèvements énoncés aux art. 12 let. b à i aLIPM, ainsi que des produits qui n’ont pas été comptabilisés dans le compte de résultat (art. 12 let. j aLIPM). Bien que rédigé différemment, l’art. 12 LIPM est de même portée que l’art. 58 al. 1 LIFD (ATA/1487/2017 du</w:t>
      </w:r>
    </w:p>
    <w:p>
      <w:r>
        <w:rPr>
          <w:b/>
        </w:rPr>
        <w:t>E. 14</w:t>
      </w:r>
    </w:p>
    <w:p>
      <w:r>
        <w:t>novembre 2017 et les références citées).</w:t>
      </w:r>
    </w:p>
    <w:p>
      <w:r>
        <w:t>e.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ATA/1270/2017 précité ; ATA/56/2017 du 24 janvier 2017 ; ATA/17/2016 du 12 janvier 2016).</w:t>
      </w:r>
    </w:p>
    <w:p>
      <w:r>
        <w:t>De jurisprudence constante, il y a un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que la disproportion entre la prestation et la contre-prestation est manifeste, de telle sorte que les organes de la société savaient ou aurait pu se rendre compte de l’avantage qu’ils accordaient (ATF 140 II 88 consid. 4.1 ; 138 II 57 consid. 2.2 ; arrêts du Tribunal fédéral 2C_605/2014 et 2C_606/2014 précités consid. 6).</w:t>
      </w:r>
    </w:p>
    <w:p>
      <w:r>
        <w:t>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w:t>
      </w:r>
    </w:p>
    <w:p>
      <w:r>
        <w:t>Les formes d’apparition des prestations appréciables en argent sont multiples : elles peuvent être réalisées par un accroissement injustifié des frais généraux, ou par une comptabilisation insuffisante d’un produit. Elles peuvent également apparaître sous la forme d’une diminution exagérée d’actifs ou d’un accroissement non justifié de passifs. 6.</w:t>
      </w:r>
    </w:p>
    <w:p>
      <w:r>
        <w:t>En matière fiscale, il appartient à l’autorité fiscale de démontrer l’existence d’éléments créant ou augmentant la charge fiscale, tandis que le contribuable doit supporter le fardeau de la preuve des éléments qui réduisent ou éteignent son</w:t>
      </w:r>
    </w:p>
    <w:p>
      <w:r>
        <w:t>- 9/13 - A/2647/2016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ATA/1270/2017 précité ; ATA/652/2016 du 26 juillet 2016).</w:t>
      </w:r>
    </w:p>
    <w:p>
      <w:r>
        <w:t>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ATA/1270/2017 précité ; ATA/778/2016 précité).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(ATA/1270/2017 précité et la référence citée).</w:t>
      </w:r>
    </w:p>
    <w:p>
      <w:r>
        <w:t>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arrêts du Tribunal fédéral 2C_275/2010 du 24 août 2010 et 2A.355/2004 du 20 juin 2005 ; ATA/1270/2017 précité ; ATA/17/2016 précité ; ATA/995/2014 du 16 décembre 2014).</w:t>
      </w:r>
    </w:p>
    <w:p>
      <w:r>
        <w:t>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ATA/1270/2017 précité ; ATA/562/2015 du 2 juin 2015 ; ATA/201/2014 du 1er avril 2014). 7.</w:t>
      </w:r>
    </w:p>
    <w:p>
      <w:r>
        <w:t>En l’espèce, aucun contrat écrit ne lie M. K______ à la recourante. Selon celle-ci, il aurait un rôle de consultant et de représentation sur la base d’un contrat</w:t>
      </w:r>
    </w:p>
    <w:p>
      <w:r>
        <w:t>- 10/13 - A/2647/2016 oral. Force est toutefois de constater qu’à aucun moment la recourante n’a été en mesure d’esquisser les contours de l’activité confiée à l’intéressé, ni de produire un justificatif quelconque de démarches effectives qui auraient été entreprises par celui-ci, non plus que de fournir des pièces relatives aux personnes et entreprises qui auraient été démarchées. Le dossier ne fait état d’aucune forme de compte rendu écrit de la part M. K______ sur le résultat de ses contacts, ni d’aucune analyse des possibilités de développement des relations économiques avec eux. Confrontée à l’absence de fournisseurs en Italie entre 2010 et 2012, la recourante a expliqué, dans ses écritures devant la chambre de céans, que les démarches de M. K______ s’étaient concrétisées en 2015 seulement, cela, une fois encore, sans fournir la moindre pièce justificative. Cette absence de documentation est d’autant plus regrettable que la société L______ SA avait été mise en faillite en 2006 et radiée fin 2007. Il n’est toutefois pas vraisemblable qu’il ait fallu huit ans pour que la recourante bénéficie des contacts du précité avec ses fournisseurs de l’époque. Dans ces circonstances, tant l’AFC-GE que le TAPI ont retenu à bon droit que la recourante n’avait pas établi de lien de causalité entre l’activité prêtée à M. K______ et le bénéfice de A______ pour les années fiscales 2010 à 2012. La prise en charge de frais de déplacements et autres de ce dernier par la société ne peut qu’apparaître insolite, le seul élément établi à satisfaction de droit étant le lien de parenté proche entre celui-ci et les associés de la recourante.</w:t>
      </w:r>
    </w:p>
    <w:p>
      <w:r>
        <w:t>Le grief est infondé. 8.</w:t>
      </w:r>
    </w:p>
    <w:p>
      <w:r>
        <w:t>La recourante se plaint enfin d’une violation des règles de fixation de l’amende.</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(ATA/1487/2017 précité et les références citées).</w:t>
      </w:r>
    </w:p>
    <w:p>
      <w:r>
        <w:t>b.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w:t>
      </w:r>
    </w:p>
    <w:p>
      <w:r>
        <w:t>- 11/13 - A/2647/2016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ATA/1416/2017 du 17 octobre 2017 et les références citées).</w:t>
      </w:r>
    </w:p>
    <w:p>
      <w:r>
        <w:t>c.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(ATA/1487/2017 précité et les références citées).</w:t>
      </w:r>
    </w:p>
    <w:p>
      <w:r>
        <w:t>d. En l’espèce, l’AFC-GE a retenu que la recourante avait agi par négligence, n’ayant pas usé des précautions commandées par les circonstances et que l’on pouvait attendre d’elle. Au vu du dossier, cette appréciation n’est pas abusive, puisque durant deux périodes fiscales, la recourante a déduit de son bénéfice des frais privés d’un proche de ses associés, sans le moindre contrôle de la pertinence de ces frais, alors que ses organes ne pouvaient ignorer que ce faisant ils ne se conformaient pas à leurs obligations légales en matière de comptabilité et de justification des déductions fiscales. 9.</w:t>
      </w:r>
    </w:p>
    <w:p>
      <w:r>
        <w:t>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w:t>
      </w:r>
    </w:p>
    <w:p>
      <w:r>
        <w:t>- 12/13 - A/2647/2016</w:t>
      </w:r>
    </w:p>
    <w:p>
      <w:r>
        <w:t>En fixant l’amende au trois quarts des montants soustraits, l’AFC-GE n’a ni abusé ni excédé son pouvoir d’appréciation, au vu des éléments du dossier. Contrairement à ce que la recourant allègue, elle n’avait pas pris les mesures organisationnelles visant à ne pas mêler les charges justifiées par l’usage commercial et les dépenses à caractère privé des associés et de leur proches puisque, dans le cas de M. K______, elle s’est accommodée de l’absence de tout justificatif d’un lien entre les frais acquittés au moyen de la carte de crédit d’entreprise et une éventuelle activité à caractère commercial déployée dans son intérêt.</w:t>
      </w:r>
    </w:p>
    <w:p>
      <w:r>
        <w:t>Au vu de ce qui précède, le recours est mal fondé et sera rejeté. 10.</w:t>
      </w:r>
    </w:p>
    <w:p>
      <w:r>
        <w:t>Vu l’issue du litige,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