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ATA/719/2014 vom 9. September 2014</w:t>
      </w:r>
    </w:p>
    <w:p>
      <w:r>
        <w:t>GE Cour de justice, 2014-09-09, FR</w:t>
      </w:r>
    </w:p>
    <w:p>
      <w:r>
        <w:rPr>
          <w:b/>
        </w:rPr>
        <w:t xml:space="preserve">Quelle: </w:t>
      </w:r>
      <w:r>
        <w:t>https://mcp.opencaselaw.ch/entscheid/ge_gerichte_ATA_719_2014</w:t>
      </w:r>
    </w:p>
    <w:p>
      <w:r>
        <w:t>FR: GE_GERICHTE ATA/719/2014 du 9 septembre 2014</w:t>
      </w:r>
    </w:p>
    <w:p>
      <w:r>
        <w:t>IT: GE_GERICHTE ATA/719/2014 del 9 settembre 2014</w:t>
      </w:r>
    </w:p>
    <w:p>
      <w:pPr>
        <w:pStyle w:val="Heading2"/>
      </w:pPr>
      <w:r>
        <w:t>Regeste</w:t>
      </w:r>
    </w:p>
    <w:p>
      <w:r>
        <w:t>Résumé: Le produit de la vente des actions qu'un contribuable détient au sein d'une société dans laquelle il est fortement impliqué doit être soumis à l'impôt.</w:t>
      </w:r>
    </w:p>
    <w:p>
      <w:pPr>
        <w:pStyle w:val="Heading2"/>
      </w:pPr>
      <w:r>
        <w:t>Erwägungen</w:t>
      </w:r>
    </w:p>
    <w:p>
      <w:r>
        <w:rPr>
          <w:b/>
        </w:rPr>
        <w:t>E. 12</w:t>
      </w:r>
    </w:p>
    <w:p>
      <w:r>
        <w:t>septembre 1985 - LPA - E 5 10 ; art. 7 al. 2 de la loi de procédure fiscale du 4 octobre 2011 - LPFisc - D 3 17). 2)</w:t>
      </w:r>
    </w:p>
    <w:p>
      <w:r>
        <w:t>La question qui se pose en l’espèce est de savoir si la vente des actions de D______ est soumise à l’ICC et l’IFD en tant que revenu du contribuable. 3) a. À teneur de l’art. 16 al. 1 de la loi fédérale sur l’impôt fédéral direct du</w:t>
      </w:r>
    </w:p>
    <w:p>
      <w:r>
        <w:rPr>
          <w:b/>
        </w:rPr>
        <w:t>E. 14</w:t>
      </w:r>
    </w:p>
    <w:p>
      <w:r>
        <w:t>décembre 1990 (LIFD – RS 642.11), l’impôt sur le revenu a pour objet tous les revenus du contribuable, qu’ils soient uniques ou périodiques. Les gains en capital réalisés lors de l’aliénation d’éléments de la fortune privée ne sont pas imposables (art. 16 al. 3 LIFD).</w:t>
      </w:r>
    </w:p>
    <w:p>
      <w:r>
        <w:t>Sont imposables tous les revenus provenant de l’exploitation d’une entreprise commerciale, industrielle, artisanale, agricole ou sylvicole, de l’exercice d’une profession libérale ou de toute autre activité lucrative indépendante (art. 18 al. 1 LIFD). Tous les bénéfices en capital provenant de l’aliénation, de la réalisation ou de la réévaluation comptable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w:t>
      </w:r>
    </w:p>
    <w:p>
      <w:r>
        <w:t>b. Selon la jurisprudence, la distinction entre un gain privé en capital (non imposable sur le revenu) ou un bénéfice commercial en capital provenant de l’exercice d’une activité lucrative indépendante (imposable sur le revenu), dépend des circonstances concrètes du cas (ATA/55/2014 du 4 février 2014 et les références citées).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(arrêts du Tribunal fédéral 2C_1023/2011 du 10 mai 2012 consid. 6.1 et 2A.547/2004 du 22 avril 2005 consid. 2.2 et les références citées ; ATA/55/2014 précité).</w:t>
      </w:r>
    </w:p>
    <w:p>
      <w:r>
        <w:t>C’est avant tout en lien avec les transactions effectuées par les particuliers sur des immeubles ou sur des titres que la jurisprudence a été amenée à dégager des critères permettant de tracer la limite entre les gains (privés) en capital et les</w:t>
      </w:r>
    </w:p>
    <w:p>
      <w:r>
        <w:t>- 10/13 - A/2014/2012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(arrêts du Tribunal fédéral 2C_1023/2011 précité consid. 6.1 et 2A.547/2004 précité consid. 2.2 et les références citées ; ATA/55/2014 précité). Chacun de ces indices peut conduire, en concours avec les autres voire même selon les circonstances, seul, à la reconnaissance d’une activité lucrative indépendante (arrêt du Tribunal fédéral 2C_1023/2011 précité). En outre, l’absence typique d’une telle activité dans un cas concret peut être relativisée par d’autres circonstances revêtant une intensité particulière (arrêt du Tribunal fédéral 2A.547/2004 précité).</w:t>
      </w:r>
    </w:p>
    <w:p>
      <w:r>
        <w:t>S’agissant de participations au capital-actions, elles ressortissent à la fortune commerciale du contribuable lorsqu’il existe un rapport économique étroit entre la participation à la société anonyme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(arrêts du Tribunal fédéral 2C_1023/2011 et 2A.547/2004 précités). Le Tribunal fédéral a estimé dans un arrêt du 22 avril 2005 (2A.547/2004 précité consid. 3.2) qu’un architecte possédant des actions dans une société d’investissements immobiliers profitait également de cette participation pour obtenir des mandats en tant qu’architecte, ce qui conférait à la vente de ladite participation un caractère commercial.</w:t>
      </w:r>
    </w:p>
    <w:p>
      <w:r>
        <w:t>c. En l’espèce, le recourant avance que la situation n’est « ni noire, ni blanche », mais que le fait qu’il ait pris une hypothèque sur sa maison familiale devait conférer à cette opération un caractère privé.</w:t>
      </w:r>
    </w:p>
    <w:p>
      <w:r>
        <w:t>Cette argumentation ne saurait être suivie, car par sa forte implication dans la société, le recourant a adopté un comportement qui ne correspond pas avec celui d’une personne qui a investi dans une société pour faire fructifier son patrimoine privé.</w:t>
      </w:r>
    </w:p>
    <w:p>
      <w:r>
        <w:t>Le recourant a possédé un tiers des actions de D______ à parts égales avec deux autres personnes. En tant que président du conseil d’administration, fonction qu’il a occupée pendant six ans, il a eu une voix prépondérante lors de la prise de décisions du conseil d’administration et les autres administrateurs ont dû requérir sa signature lors de tout engagement de la société. Il s’est en outre fortement</w:t>
      </w:r>
    </w:p>
    <w:p>
      <w:r>
        <w:t>- 11/13 - A/2014/2012 engagé dans la société au point d’y détenir un compte courant actionnaire d’une créance de CHF 2’500’000.-. Par conséquent, il a indéniablement eu une volonté d’influencer la marche de la société pour en faire fructifier la valeur et produire des revenus, allant au-delà de ce que nécessitait l’administration d’un patrimoine privé.</w:t>
      </w:r>
    </w:p>
    <w:p>
      <w:r>
        <w:t>En outre, « certains » immeubles de la société ont été gérés par sa propre société de gérance. Il a donc profité de sa position au sein de D______ pour augmenter les profits de son activité professionnelle déclarée, le conseil d’administration de D______ se réunissant par ailleurs dans les locaux de sa société de gérance. De plus, le recourant possède de nombreuses années d’expérience dans le domaine de l’immobilier, qu’il a pu utilement mettre à profit dans son activité au sein de D______, si bien que le lien entre son activité professionnelle et sa participation est établie.</w:t>
      </w:r>
    </w:p>
    <w:p>
      <w:r>
        <w:t>Le fait que, pour acquérir sa participation, il ait recouru à un important financement externe est un indice complémentaire d’une volonté d’agir à titre commercial par le biais de la détention des actions de la société. Cette volonté relègue à l’arrière-plan le fait qu’il ait pris une hypothèque sur sa propriété familiale et que le produit de la vente des actions ait servi un but culturel.</w:t>
      </w:r>
    </w:p>
    <w:p>
      <w:r>
        <w:t>En conséquence, c’est à juste titre que l’AFC-GE a soumis la vente des actions de D______ à l’impôt sur le revenu. Les montants retenus par le TAPI pour la taxation de l’année 2007 seront confirmés. 4)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e, la LIPP abroge la loi sur l’imposition des personnes physiques - Détermination du revenu net - Calcul de l’impôt et rabais d’impôt - Compensation des effets de la progression à froid du 22 septembre 2000 (aLIPP-V - D 3 16).</w:t>
      </w:r>
    </w:p>
    <w:p>
      <w:r>
        <w:t>Conformément à son art. 71, la LIPP est entrée en vigueur le 1er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w:t>
      </w:r>
    </w:p>
    <w:p>
      <w:r>
        <w:t>Le litige concerne la période fiscale 2007 et doit ainsi être examiné à l’aune du régime juridique mis en place par l’aLIPP-V, entrée en vigueur le 1er janvier</w:t>
      </w:r>
    </w:p>
    <w:p>
      <w:r>
        <w:t>- 12/13 - A/2014/2012 2001, en particulier la loi sur l’imposition des personnes physiques – Impôt sur le revenu (revenu imposable) du 22 septembre 2000 (ci-après : aLIPP-IV).</w:t>
      </w:r>
    </w:p>
    <w:p>
      <w:r>
        <w:t>b. Sont imposables tous les revenus provenant de l’exploitation d’une entreprise commerciale, industrielle, artisanale, agricole ou sylvicole, et de l’exercice d’une profession libérale ou de toute autre activité lucrative indépendante (art. 3 al. 1 1ère phr. aLIPP-IV).</w:t>
      </w:r>
    </w:p>
    <w:p>
      <w:r>
        <w:t>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(art. 3 al. 2 aLIPP-IV).</w:t>
      </w:r>
    </w:p>
    <w:p>
      <w:r>
        <w:t>La fortune commerciale comprend tous les éléments de fortune qui servent entièrement ou de manière prépondérante à l’activité indépendante (art. 3 al. 3 aLIPP-IV).</w:t>
      </w:r>
    </w:p>
    <w:p>
      <w:r>
        <w:t>c. En l’occurrence, toutes les considérations émises ci-dessus pour la taxation IFD 2007 sont donc également valables pour l’ICC, les bases légales pertinentes susmentionnées ayant la même teneur. 5)</w:t>
      </w:r>
    </w:p>
    <w:p>
      <w:r>
        <w:t>Au vu de ce qui précède, le recours sera rejeté. Un émolument de CHF 2’000.-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