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ATA/718/2020 vom 4. August 2020</w:t>
      </w:r>
    </w:p>
    <w:p>
      <w:r>
        <w:t>GE Cour de justice, 2020-08-04, FR</w:t>
      </w:r>
    </w:p>
    <w:p>
      <w:r>
        <w:rPr>
          <w:b/>
        </w:rPr>
        <w:t xml:space="preserve">Quelle: </w:t>
      </w:r>
      <w:r>
        <w:t>https://mcp.opencaselaw.ch/entscheid/ge_gerichte_ATA_718_2020</w:t>
      </w:r>
    </w:p>
    <w:p>
      <w:r>
        <w:t>FR: GE_GERICHTE ATA/718/2020 du 4 août 2020</w:t>
      </w:r>
    </w:p>
    <w:p>
      <w:r>
        <w:t>IT: GE_GERICHTE ATA/718/2020 del 4 agosto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le bien-fondé de la suspension de l'AUADP du recourant pendant une durée d'un mois ainsi que le dépôt des plaques d'immatriculation relatives à cette dernière.</w:t>
      </w:r>
    </w:p>
    <w:p>
      <w:r>
        <w:t>a. Les autorisations d'usage accru du domaine public sont attribuées sur requête, à des personnes physiques ou morales. Elles sont personnelles et incessibles (art. 11 al. 1 LTVTC). En contrepartie du droit d’usage accru du domaine public, chaque détenteur d'une ou plusieurs autorisations paie une taxe annuelle ne dépassant pas CHF 1'400.- par autorisation (art. 11A al. 1 LTVTC).</w:t>
      </w:r>
    </w:p>
    <w:p>
      <w:r>
        <w:t>b. Selon l'art. 26 RTVTC, la taxe annuelle pour l'usage accru du domaine public, de CHF 1'400.- (al. 1), est due le premier trimestre de chaque année, soit le 31 mars au plus tard. (al. 2). Son non-paiement entraîne les mesures prévues à</w:t>
      </w:r>
    </w:p>
    <w:p>
      <w:r>
        <w:t>- 4/6 - A/768/2020 l'art. 37 LTVTC. L'art. 38 de la LTVTC, relatif aux dispositions pénales, est réservé (al. 6).</w:t>
      </w:r>
    </w:p>
    <w:p>
      <w:r>
        <w:t>c. En cas de violation des prescriptions de la loi ou de ses dispositions d'exécution, le département peut prononcer, sans préjudice de l'amende prévue à l'art. 38, l'une des mesures suivantes (art. 37 al. 1 LTVTC) : la suspension de l'autorisation d'usage accru du domaine public pour une durée de sept jours à six mois (let. a) ; le retrait de l'autorisation d'usage accru du domaine public (let. b) ; la suspension de la carte professionnelle pour une durée de sept jours à six mois (let. c) ; le retrait de la carte professionnelle (let. d).</w:t>
      </w:r>
    </w:p>
    <w:p>
      <w:r>
        <w:t>d. En cas de suspension de l'autorisation d'usage accru du domaine public, au sens de l'art. 37 al. 1 let. a LTVTC, le titulaire de l'autorisation doit, dès l'entrée en force de la décision, déposer les plaques d'immatriculation correspondantes auprès de la direction générale des véhicules. L’enseigne lumineuse doit être masquée ou démontée pendant la durée de la mesure. Le chauffeur peut poursuivre son activité en tant que chauffeur de voiture de transport avec chauffeur, sur la base d'une nouvelle immatriculation (art. 50 al. 1 RTVTC).</w:t>
      </w:r>
    </w:p>
    <w:p>
      <w:r>
        <w:t>e. L’autorité qui prononce une mesure administrative ayant le caractère d’une sanction doit faire application des principes applicables à la fixation de la peine contenus aux art. 47 ss du Code pénal suisse du 21 décembre 1937 (CP - RS 311.0), en tenant compte de la culpabilité de l’auteur et en prenant en considération, notamment, les antécédents et la situation personnelle de ce dernier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ATA/1472/2017 du 14 novembre 2017).</w:t>
      </w:r>
    </w:p>
    <w:p>
      <w:r>
        <w:t>L’administration doit faire preuve de sévérité afin d’assurer le respect de la loi et jouit d’un large pouvoir d’appréciation pour infliger une sanction administrative. La juridiction de céans ne la censure qu’en cas d’excès ou d’abus. La mesure administrative doit également respecter le principe de la proportionnalité (ATA/1315/2018 du 4 décembre 2018).</w:t>
      </w:r>
    </w:p>
    <w:p>
      <w:r>
        <w:rPr>
          <w:b/>
        </w:rPr>
        <w:t>E. 3</w:t>
      </w:r>
    </w:p>
    <w:p>
      <w:r>
        <w:t>En l'espèce, le recourant ne conteste pas avoir reçu les décisions de taxation, ainsi que les rappels, les mises en demeure et les sommations. Il ne contestait pas non plus que les taxes étaient exigibles.</w:t>
      </w:r>
    </w:p>
    <w:p>
      <w:r>
        <w:t>Ainsi, malgré les diverses possibilités qui lui ont été données, et alors qu’il avait été rendu attentif au fait que le non-paiement de la taxe entraînerait des sanctions, le recourant ne s’est pas exécuté dans les délais impartis.</w:t>
      </w:r>
    </w:p>
    <w:p>
      <w:r>
        <w:t>- 5/6 - A/768/2020</w:t>
      </w:r>
    </w:p>
    <w:p>
      <w:r>
        <w:t>L'intimé était partant fondé à rendre la décision du 4 février 2020 prononçant la suspension de l'AUADP liée aux plaques d'immatriculation du recourant pendant une durée d'un mois et ordonnant le dépôt de celles-ci, dès que la décision deviendrait définitive et exécutoire (art. 37 al. 1 let. a et al. 4 LTVTC ; art. 50 RTVTC).</w:t>
      </w:r>
    </w:p>
    <w:p>
      <w:r>
        <w:t>Certes, ladite suspension entravera l’activité professionnelle du recourant. Elle ne l’empêche toutefois pas de travailler en qualité de chauffeur. La mesure est apte à atteindre le but d’intérêt public recherché, à savoir l’acquittement, dans les délais fixés par la loi, par les personnes concernées de la taxe relative à l’AUADP. Elle est nécessaire pour l’atteindre au vu des nombreux rappels adressés au recourant et restés sans suite.</w:t>
      </w:r>
    </w:p>
    <w:p>
      <w:r>
        <w:t>L’autorité intimée bénéficie d’un pouvoir d’appréciation dans la fixation de la durée de la mesure que la chambre de céans ne revoit qu’avec retenue, conformément à sa jurisprudence constante.</w:t>
      </w:r>
    </w:p>
    <w:p>
      <w:r>
        <w:t>En l’espèce la décision est proportionnée au sens étroit, la suspension ne portant que sur un mois. L’autorité n’a ni excédé ni abusé de son pouvoir d’appréciation (ATA/159/2019 du 19 février 2019 consid. 4).</w:t>
      </w:r>
    </w:p>
    <w:p>
      <w:r>
        <w:t>L’intérêt public à la bonne application de la loi doit donc en l’espèce l’emporter sur l’atteinte que ladite suspension occasionne au recourant (ATA/775/2020 du 7 juillet 2020 consid. 3).</w:t>
      </w:r>
    </w:p>
    <w:p>
      <w:r>
        <w:t>Au vu de ce qui précède, le recours, mal fondé, sera rejeté.</w:t>
      </w:r>
    </w:p>
    <w:p>
      <w:r>
        <w:rPr>
          <w:b/>
        </w:rPr>
        <w:t>E. 4</w:t>
      </w:r>
    </w:p>
    <w:p>
      <w:r>
        <w:t>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