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ATA/716/2010 vom 19. Oktober 2010</w:t>
      </w:r>
    </w:p>
    <w:p>
      <w:r>
        <w:t>GE Cour de justice, 2010-10-19, FR</w:t>
      </w:r>
    </w:p>
    <w:p>
      <w:r>
        <w:rPr>
          <w:b/>
        </w:rPr>
        <w:t xml:space="preserve">Quelle: </w:t>
      </w:r>
      <w:r>
        <w:t>https://mcp.opencaselaw.ch/entscheid/ge_gerichte_ATA_716_2010</w:t>
      </w:r>
    </w:p>
    <w:p>
      <w:r>
        <w:t>FR: GE_GERICHTE ATA/716/2010 du 19 octobre 2010</w:t>
      </w:r>
    </w:p>
    <w:p>
      <w:r>
        <w:t>IT: GE_GERICHTE ATA/716/2010 del 19 ottobre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Un automobiliste doit toujours veiller à se comporter de manière à ne pas gêner ni mettre en danger ceux qui utilisent la route conformément aux règles établies (art. 26 al. 1 LCR). Une prudence particulière s'impose de plus à l'égard des enfants, des infirmes et des personnes âgées (art. 26 al. 2 LCR).</w:t>
      </w:r>
    </w:p>
    <w:p>
      <w:r>
        <w:t>b. Selon l'art. 31 al. 1 LCR, le conducteur doit rester constamment maître de son véhicule, de façon à pouvoir se conformer aux devoirs de la prudence. Cette disposition légale est précisée par l'art. 3 al. 1 de l’ordonnance sur les règles de la circulation routière du 13 novembre 1962 (OCR - RS 741.11) selon lequel, le conducteur doit vouer toute son attention à la route et à la circulation. Le degré de cette attention doit être apprécié au regard de l'ensemble des circonstances, telles que la densité du trafic, la configuration des lieux, l'heure, la visibilité, les sources de danger prévisibles, etc. L'attention requise du conducteur implique qu'il soit en mesure de parer rapidement aux dangers qui menacent la vie, l'intégrité corporelle ou les biens matériels d'autrui ; la maîtrise de son véhicule exige qu'en présence d'un danger le conducteur actionne immédiatement les commandes de son véhicule de manière appropriée aux circonstances.</w:t>
      </w:r>
    </w:p>
    <w:p>
      <w:r>
        <w:t>- 5/9 - A/4040/2009</w:t>
      </w:r>
    </w:p>
    <w:p>
      <w:r>
        <w:t>c. Concernant les obligations générales à l'égard des piétons, les automobilistes se doivent de leur faciliter la traversée de la chaussée (art. 33 al. 1 LCR).</w:t>
      </w:r>
    </w:p>
    <w:p>
      <w:r>
        <w:t>Pour le cas spécifique des passages pour piétons, une attention accrue est exigée des automobilistes qui doivent, avant ces dits passages, circuler avec une prudence particulière et, au besoin, s'arrêter pour laisser la priorité aux piétons qui se trouvent déjà sur le passage ou s'y engagent (art. 33 al. 2 LCR).</w:t>
      </w:r>
    </w:p>
    <w:p>
      <w:r>
        <w:t>Ce devoir de prudence supplémentaire est encore renforcé aux abords des passages pour piétons où le trafic n'est pas réglé (art. 6 al. 1 OCR).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w:t>
      </w:r>
    </w:p>
    <w:p>
      <w:r>
        <w:t>d. 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w:t>
      </w:r>
    </w:p>
    <w:p>
      <w:r>
        <w:rPr>
          <w:b/>
        </w:rPr>
        <w:t>E. 3</w:t>
      </w:r>
    </w:p>
    <w:p>
      <w:r>
        <w:t>Lorsque la qualification d'un 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En effet, il convient d'éviter autant que possible que la sécurité du droit ne soit mise en péril par des jugements opposés, fondés sur les mêmes faits (ATF 129 II 312 consid. 2.4 p. 315; Arrêt du Tribunal fédéral 1C_87/2009 du 11 août 2009, consid. 2.1).</w:t>
      </w:r>
    </w:p>
    <w:p>
      <w:r>
        <w:t>En l'espèce, le jugement du Tribunal de police a été rendu au terme d'une procédure contradictoire au cours de laquelle les parties ont été entendues et les témoins interrogés. Les faits pertinents ayant été clairement établis par le Tribunal de police, le Tribunal administratif n'a aucune raison de s'écarter des constatations de celui-ci, au demeurant admises par le recourant, qui n'apporte dans la présente procédure aucun élément que les juges pénaux n'auraient pas eu à disposition ou dont ils n'auraient pas eu connaissance.</w:t>
      </w:r>
    </w:p>
    <w:p>
      <w:r>
        <w:t>- 6/9 - A/4040/2009</w:t>
      </w:r>
    </w:p>
    <w:p>
      <w:r>
        <w:rPr>
          <w:b/>
        </w:rPr>
        <w:t>E. 4</w:t>
      </w:r>
    </w:p>
    <w:p>
      <w:r>
        <w:t>Le jugement précité du Tribunal de police est entré en force et n’a pas été frappé d’un appel. Il en résulte clairement que le recourant a commis une violation simple des règles de la circulation routière, quand bien même l’art. 90 ch. 1 LCR n’est pas expressément visé. Pour le juge pénal, le recourant a heurté la piétonne sur un passage de sécurité, alors qu’à proximité d’un tel passage, il devait faire preuve d’une prudence accrue en application des dispositions rappelées ci-dessus d’une part, et compte tenu de l’état de la chaussée et de la visibilité, d’autre part.</w:t>
      </w:r>
    </w:p>
    <w:p>
      <w:r>
        <w:rPr>
          <w:b/>
        </w:rPr>
        <w:t>E. 5</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w:t>
      </w:r>
    </w:p>
    <w:p>
      <w:r>
        <w:rPr>
          <w:b/>
        </w:rPr>
        <w:t>E. 6</w:t>
      </w:r>
    </w:p>
    <w:p>
      <w:r>
        <w:t>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"gravement" violées et la sécurité d'autrui doit avoir été "sérieusement" mise en danger pour que l'infraction puisse être qualifiée de grave. Conformément à la jurisprudence, il y a lieu de procéder à une appréciation objective et subjective des faits (Arrêt du Tribunal fédéral 6B_720/2007 du 29 mars 2008, consid. 4.1, in JdT 2008 I 520).</w:t>
      </w:r>
    </w:p>
    <w:p>
      <w:r>
        <w:t>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w:t>
      </w:r>
    </w:p>
    <w:p>
      <w:r>
        <w:rPr>
          <w:b/>
        </w:rPr>
        <w:t>E. 7</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du 29 mars 2008, consid. 4.1).</w:t>
      </w:r>
    </w:p>
    <w:p>
      <w:r>
        <w:rPr>
          <w:b/>
        </w:rPr>
        <w:t>E. 8</w:t>
      </w:r>
    </w:p>
    <w:p>
      <w:r>
        <w:t>En l’espèce, le recourant ne conteste pas avoir heurté la piétonne. Il allègue que celle-ci s’est élancée sur le passage de sécurité, ce qui n’a pu être établi, la piétonne elle-même ayant déclaré qu’elle marchait rapidement. Il n’en demeure pas moins que le recourant a commis une négligence grossière et qu’il a violé son devoir de prudence.</w:t>
      </w:r>
    </w:p>
    <w:p>
      <w:r>
        <w:t>- 7/9 - A/4040/2009</w:t>
      </w:r>
    </w:p>
    <w:p>
      <w:r>
        <w:rPr>
          <w:b/>
        </w:rPr>
        <w:t>E. 9</w:t>
      </w:r>
    </w:p>
    <w:p>
      <w:r>
        <w:t>Il résulte du dossier que le recourant ne s’est pas montré suffisamment attentif et qu’il n’a pas vu la piétonne engagée sur le passage de sécurité et à laquelle il devait céder la priorité. En la heurtant, il n’a pas fait preuve de toute l’attention nécessaire et c’est bien pour ce motif que le Tribunal de police l’a condamné.</w:t>
      </w:r>
    </w:p>
    <w:p>
      <w:r>
        <w:t>La décision du juge pénal ayant visé l’art. 90 ch. 1 LCR, et non pas le ch. 2 de cette disposition, exclut en principe l’application ultérieure de l’art. 16 al. 3 let. a LCR, à moins que la décision pénale ne soit manifestement erronée (ATF 118 IV 188 consid. 2a et b, p. 189, 190 ; Arrêts du Tribunal fédéral 1C_ 7/2010 du 11 mai 2010 ; 1C_245/2010 du 13 juillet 2010 ; ATA/705/2010 du 12 octobre 2010 ; ATA/456/2009 du 15 septembre 2009 ; ATA/129/2006 du 7 mars 2006 et les réf. citées).</w:t>
      </w:r>
    </w:p>
    <w:p>
      <w:r>
        <w:t>En l’espèce, l’appréciation juridique des faits à laquelle s’est livré le juge pénal est erronée, car il n’a pas suffisamment pris en considération le fait que le recourant a gravement compromis la sécurité de la route en heurtant – dans les circonstances décrites ci-dessus – une piétonne qui n’a fait preuve d’aucune imprudence et qui pouvait légitimement s’attendre à voir sa priorité respectée. En conséquence, le tribunal de céans fera application de l’art. 16 al. 3 LCR qui entraîne le retrait obligatoire du permis de conduire</w:t>
      </w:r>
    </w:p>
    <w:p>
      <w:r>
        <w:rPr>
          <w:b/>
        </w:rPr>
        <w:t>E. 10</w:t>
      </w:r>
    </w:p>
    <w:p>
      <w:r>
        <w:t>En circulant au volant de son véhicule dans les circonstances décrites plus avant, le recourant a violé les dispositions précitées.</w:t>
      </w:r>
    </w:p>
    <w:p>
      <w:r>
        <w:t>Selon la jurisprudence du Tribunal administratif, la violation du devoir de prudence particulier imposé aux automobilistes à l’égard des piétons doit être qualifiée de grave au sens de l’art. 16c al. 1 LCR et entraîne obligatoirement le prononcé d’une mesure de retrait de permis.</w:t>
      </w:r>
    </w:p>
    <w:p>
      <w:r>
        <w:t>Après une infraction grave, le permis de conduire est retiré pour une durée minimale de trois mois (art. 16c al. 2 let. a LCR).</w:t>
      </w:r>
    </w:p>
    <w:p>
      <w:r>
        <w:rPr>
          <w:b/>
        </w:rPr>
        <w:t>E. 11</w:t>
      </w:r>
    </w:p>
    <w:p>
      <w:r>
        <w:t>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 même pour tenir compte de besoins professionnels particuliers du conducteur (Arrêt du Tribunal fédéral 1C_585/2008 du 14 mai 2009, consid. 2.1 in fine et jurisprudence citée).</w:t>
      </w:r>
    </w:p>
    <w:p>
      <w:r>
        <w:t>- 8/9 - A/4040/2009</w:t>
      </w:r>
    </w:p>
    <w:p>
      <w:r>
        <w:t>En l'espèce, la mesure prononcée par l'OCAN correspond au minimum légal prescrit par l'art. 16 al. 2 let. a LCR, ce qui ne permet pas d’en diminuer la mesure, malgré les besoins professionnels allégués par le recourant.</w:t>
      </w:r>
    </w:p>
    <w:p>
      <w:r>
        <w:rPr>
          <w:b/>
        </w:rPr>
        <w:t>E. 12</w:t>
      </w:r>
    </w:p>
    <w:p>
      <w:r>
        <w:t>Au vu de ce qui précède, le recours sera rejeté. Un émolument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