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ATA/715/2015 vom 9. Juli 2015</w:t>
      </w:r>
    </w:p>
    <w:p>
      <w:r>
        <w:t>GE Cour de justice, 2015-07-09, FR</w:t>
      </w:r>
    </w:p>
    <w:p>
      <w:r>
        <w:rPr>
          <w:b/>
        </w:rPr>
        <w:t xml:space="preserve">Quelle: </w:t>
      </w:r>
      <w:r>
        <w:t>https://mcp.opencaselaw.ch/entscheid/ge_gerichte_ATA_715_2015</w:t>
      </w:r>
    </w:p>
    <w:p>
      <w:r>
        <w:t>FR: GE_GERICHTE ATA/715/2015 du 9 juillet 2015</w:t>
      </w:r>
    </w:p>
    <w:p>
      <w:r>
        <w:t>IT: GE_GERICHTE ATA/715/2015 del 9 luglio 2015</w:t>
      </w:r>
    </w:p>
    <w:p>
      <w:pPr>
        <w:pStyle w:val="Heading2"/>
      </w:pPr>
      <w:r>
        <w:t>Erwägungen</w:t>
      </w:r>
    </w:p>
    <w:p>
      <w:r>
        <w:rPr>
          <w:b/>
        </w:rPr>
        <w:t>E. 12</w:t>
      </w:r>
    </w:p>
    <w:p>
      <w:r>
        <w:t>septembre 1985 - LPA - E 5 10 - et art. 7 al. 1 du règlement interne de la chambre administrative du 26 septembre 2010). 4)</w:t>
      </w:r>
    </w:p>
    <w:p>
      <w:r>
        <w:t>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w:t>
      </w:r>
    </w:p>
    <w:p>
      <w:r>
        <w:t>- 5/7 - A/1664/2015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5)</w:t>
      </w:r>
    </w:p>
    <w:p>
      <w:r>
        <w:t>En l’espèce, sur la base d’un examen prima facie du recours, les violations alléguées du droit d’être entendu, du principe de la bonne foi, de la garantie des droits acquis et du droit à l’égalité de traitement ne peuvent en tout état de cause pas être constatées d’emblée de manière indiscutable, ce d’autant moins que la loi 11328 fait elle-même l’objet d’un recours pendant auprès de la chambre constitutionnelle tendant à l’abrogation de celle-ci pour des griefs énoncés correspondant à ceux précités. 6)</w:t>
      </w:r>
    </w:p>
    <w:p>
      <w:r>
        <w:t>Le recourant fait valoir son intérêt privé à percevoir l’indemnité supprimée.</w:t>
      </w:r>
    </w:p>
    <w:p>
      <w:r>
        <w:t>Il ressort des pièces produites par l’intéressé que son traitement est actuellement fixé en classe 27 annuité 8, représentant un montant mensuel brut de CHF 12'892.50, auquel s’ajoutait jusqu’au 31 mars 2015 l’indemnité prévue par l’art. 23A LTrait abrogé, soit un montant de CHF 1'070.10. Entre le mois de mars et le mois d’avril 2015, son revenu mensuel brut est ainsi passé de CHF 13'962.60 à CHF 12'892.50, tandis que son revenu mensuel net passait de CHF 12'011.05 à CHF 11'002.95, soit CHF 1'008.10 de moins. Une telle diminution n’est pas négligeable. Le montant disponible demeure toutefois important et ne permet de retenir d’emblée que la suppression de l’indemnité en cause est de nature à compromettre gravement les intérêts financiers du recourant.</w:t>
      </w:r>
    </w:p>
    <w:p>
      <w:r>
        <w:t>À cet égard, l’intéressé ne fournit aucun élément permettant de retenir que la suppression immédiate de l’indemnité perçue jusqu’au 31 mars 2015 entraîne des conséquences particulièrement dommageables.</w:t>
      </w:r>
    </w:p>
    <w:p>
      <w:r>
        <w:t>S’agissant ainsi d’intérêts en jeu de nature purement pécuniaire, rien ne permet de déroger à la jurisprudence constante de la chambre de céans selon laquelle l’intérêt privé du recourant à conserver l’intégralité de ses revenus doit céder le pas à</w:t>
      </w:r>
    </w:p>
    <w:p>
      <w:r>
        <w:t>- 6/7 - A/1664/2015 l’intérêt public à la préservation des finances de l’État (ATA7300/2015 du 24 mars 2015 et les références citées). Il y a en effet une incertitude quant à la capacité de M. A______ à rembourser les montants perçus en case de confirmation de la décision querellée alors que l’État de Genève serait à même de verser les montants dus en cas d’issue favorable du recours, cela même si la cause ne pourrait être tranchée rapidement. 7)</w:t>
      </w:r>
    </w:p>
    <w:p>
      <w:r>
        <w:t>Au vu de ce qui précède, la demande de restitution de l’effet suspensif au recours sera refusée, le sort des frais de la procédure étant réservé jusqu’à droit jugé au fond.</w:t>
      </w:r>
    </w:p>
    <w:p>
      <w:r>
        <w:t>LA CHAMBRE ADMINISTRATIVE rejette la demande de restitution de l’effet suspensif au recours formé par M. A______ contre la décision du 20 avril 2015 du Conseil d’État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Malek Adjadj, avocat du recourant ainsi qu'au Conseil d'État.</w:t>
      </w:r>
    </w:p>
    <w:p>
      <w:r>
        <w:t>La présidente :</w:t>
      </w:r>
    </w:p>
    <w:p>
      <w:r>
        <w:t>Ch. Junod</w:t>
      </w:r>
    </w:p>
    <w:p>
      <w:r>
        <w:t>- 7/7 - A/1664/2015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