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ATA/714/2016 vom 23. August 2016</w:t>
      </w:r>
    </w:p>
    <w:p>
      <w:r>
        <w:t>GE Cour de justice, 2016-08-23, FR</w:t>
      </w:r>
    </w:p>
    <w:p>
      <w:r>
        <w:rPr>
          <w:b/>
        </w:rPr>
        <w:t xml:space="preserve">Quelle: </w:t>
      </w:r>
      <w:r>
        <w:t>https://mcp.opencaselaw.ch/entscheid/ge_gerichte_ATA_714_2016</w:t>
      </w:r>
    </w:p>
    <w:p>
      <w:r>
        <w:t>FR: GE_GERICHTE ATA/714/2016 du 23 août 2016</w:t>
      </w:r>
    </w:p>
    <w:p>
      <w:r>
        <w:t>IT: GE_GERICHTE ATA/714/2016 del 23 agosto 2016</w:t>
      </w:r>
    </w:p>
    <w:p>
      <w:pPr>
        <w:pStyle w:val="Heading2"/>
      </w:pPr>
      <w:r>
        <w:t>Erwägungen</w:t>
      </w:r>
    </w:p>
    <w:p>
      <w:r>
        <w:rPr>
          <w:b/>
        </w:rPr>
        <w:t>E. 1</w:t>
      </w:r>
    </w:p>
    <w:p>
      <w:r>
        <w:t>La chambre administrative examine d'office la recevabilité des recours et demandes qui lui sont adressés (ATA/254/2013 du 23 avril 2013 consid. 1 et les arrêts cités).</w:t>
      </w:r>
    </w:p>
    <w:p>
      <w:r>
        <w:rPr>
          <w:b/>
        </w:rPr>
        <w:t>E. 2</w:t>
      </w:r>
    </w:p>
    <w:p>
      <w:r>
        <w:t>Selon l’art. 80 de la loi sur la procédure administrative du 12 septembre 1985 (LPA - E 5 10), il ne peut y avoir révision que dans une affaire réglée par une décision définitive, étant précisé qu’il n’y a pas lieu d’écarter une demande de révision du fait que son auteur n’a pas saisi le Tribunal fédéral et que le délai de recours devant cette instance n’est pas échu au moment où la chambre de céans statue sur ladite demande (ATA/804/2015 du 10 août 2015).</w:t>
      </w:r>
    </w:p>
    <w:p>
      <w:r>
        <w:rPr>
          <w:b/>
        </w:rPr>
        <w:t>E. 3</w:t>
      </w:r>
    </w:p>
    <w:p>
      <w:r>
        <w:t>a. Selon l'art. 80 de la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Ces cas de révision sont exhaustifs et le juge est lié par ceux-ci (ATA/294/2015 du 24 mars 2015 consid. 3b et les références citées).</w:t>
      </w:r>
    </w:p>
    <w:p>
      <w:r>
        <w:t>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(ATA/294/2015 précité consid. 3d et les références citées).</w:t>
      </w:r>
    </w:p>
    <w:p>
      <w:r>
        <w:rPr>
          <w:b/>
        </w:rPr>
        <w:t>E. 4</w:t>
      </w:r>
    </w:p>
    <w:p>
      <w:r>
        <w:t>En l’espèce, Mme A______, dans son courrier du 22 juin 2016, ne met en avant aucun élément qui puisse fonder une demande de révision, répondant aux exigences rappelées ci-dessus.</w:t>
      </w:r>
    </w:p>
    <w:p>
      <w:r>
        <w:t>Au vu de ce qui précède, dans la mesure où le courrier du 22 juin 2016 devrait être considéré comme une demande de révision, elle serait irrecevable.</w:t>
      </w:r>
    </w:p>
    <w:p>
      <w:r>
        <w:rPr>
          <w:b/>
        </w:rPr>
        <w:t>E. 5</w:t>
      </w:r>
    </w:p>
    <w:p>
      <w:r>
        <w:t>Au vu des spécificités de la procédure, la chambre administrative statuera sans percevoir d’émolument (art. 87 al. 1 LPA).</w:t>
      </w:r>
    </w:p>
    <w:p>
      <w:r>
        <w:t>* * * * *</w:t>
      </w:r>
    </w:p>
    <w:p>
      <w:r>
        <w:t>- 4/4 - A/2183/2016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