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ATA/710/2016 vom 23. August 2016</w:t>
      </w:r>
    </w:p>
    <w:p>
      <w:r>
        <w:t>GE Cour de justice, 2016-08-23, FR</w:t>
      </w:r>
    </w:p>
    <w:p>
      <w:r>
        <w:rPr>
          <w:b/>
        </w:rPr>
        <w:t xml:space="preserve">Quelle: </w:t>
      </w:r>
      <w:r>
        <w:t>https://mcp.opencaselaw.ch/entscheid/ge_gerichte_ATA_710_2016</w:t>
      </w:r>
    </w:p>
    <w:p>
      <w:r>
        <w:t>FR: GE_GERICHTE ATA/710/2016 du 23 août 2016</w:t>
      </w:r>
    </w:p>
    <w:p>
      <w:r>
        <w:t>IT: GE_GERICHTE ATA/710/2016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132 de la LOJ, la chambre administrative est l’autorité supérieure ordinaire de recours en matière administrative. Le recours à la chambre administrative est ouvert contre les décisions des autorités et juridictions administratives au sens des art. 4, 4A, 5, 6, al. 1, let. a et e, et 57 LPA.</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w:t>
      </w:r>
    </w:p>
    <w:p>
      <w:r>
        <w:t>- 5/6 - A/4012/2015 fondées sur l’art. 4A LPA, elles portent sur des actes illicites de l’autorité compétente, qui sont fondés sur le droit fédéral, cantonal ou communal et qui touchent les droits ou obligations d’une personne ayant un intérêt digne de protection (art. 4A al. 1 LPA).</w:t>
      </w:r>
    </w:p>
    <w:p>
      <w:r>
        <w:t>Il résulte des al. 2 et 3 de l’art. 132 LOJ que la compétence de la chambre administrative dépend de la qualification juridique de l’acte porté devant elle. Ce dernier doit notamment avoir son fondement en droit public, sous réserve du cas particulier de l’art. 4A LPA (ATA/225/2014 du 8 avril 2014 consid. 2).</w:t>
      </w:r>
    </w:p>
    <w:p>
      <w:r>
        <w:rPr>
          <w:b/>
        </w:rPr>
        <w:t>E. 3</w:t>
      </w:r>
    </w:p>
    <w:p>
      <w:r>
        <w:t>En l’espèce, il ressort du dossier que l’interdiction d’entrer dans les foyers autres que celui où le recourant est hébergé n’est pas fondée sur le droit public. Il s’agit d’une mesure ressortant du droit privé et visant à protéger la propriété et la possession (art. 679 et 926 ss Code civil suisse - CCS - RS 210), comme le serait la pose d’un panneau « entrée interdite aux non-résidents » ou l’affichage à l’entrée du règlement des lieux d’hébergement collectif de l’hospice, qui prévoit que ces foyers sont exclusivement réservés aux personnes qui y logent et que les tiers ne peuvent y accéder.</w:t>
      </w:r>
    </w:p>
    <w:p>
      <w:r>
        <w:t>Il ne s’agit dès lors pas d’un acte de puissance publique (ATA/1367/2015 du 21 décembre 2015), mais uniquement de l’expression de la volonté de l’ayant-droit de ces locaux.</w:t>
      </w:r>
    </w:p>
    <w:p>
      <w:r>
        <w:rPr>
          <w:b/>
        </w:rPr>
        <w:t>E. 4</w:t>
      </w:r>
    </w:p>
    <w:p>
      <w:r>
        <w:t>Pour ces motifs, en l’absence d’une décision attaquable au sens de l’art. 4 LPA, le recours est irrecevable, faute de compétence de la chambre administrative, et cela sans qu’il ne soit nécessaire de trancher la question de l’intérêt de M. A______ au recours.</w:t>
      </w:r>
    </w:p>
    <w:p>
      <w:r>
        <w:t>Au regard des circonstances particulières du présent cas, il ne sera pas perçu d’émolument (art. 87 al. 1 LPA). Vu l’issue de la procédure, une indemnité ne saurait en tout état de cause être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