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ATA/70/2018 vom 23. Januar 2018</w:t>
      </w:r>
    </w:p>
    <w:p>
      <w:r>
        <w:t>GE Cour de justice, 2018-01-23, FR</w:t>
      </w:r>
    </w:p>
    <w:p>
      <w:r>
        <w:rPr>
          <w:b/>
        </w:rPr>
        <w:t xml:space="preserve">Quelle: </w:t>
      </w:r>
      <w:r>
        <w:t>https://mcp.opencaselaw.ch/entscheid/ge_gerichte_ATA_70_2018</w:t>
      </w:r>
    </w:p>
    <w:p>
      <w:r>
        <w:t>FR: GE_GERICHTE ATA/70/2018 du 23 janvier 2018</w:t>
      </w:r>
    </w:p>
    <w:p>
      <w:r>
        <w:t>IT: GE_GERICHTE ATA/70/2018 del 23 gennaio 2018</w:t>
      </w:r>
    </w:p>
    <w:p>
      <w:pPr>
        <w:pStyle w:val="Heading2"/>
      </w:pPr>
      <w:r>
        <w:t>Regeste</w:t>
      </w:r>
    </w:p>
    <w:p>
      <w:r>
        <w:t>Résumé: Contestation d'un ordre de remise en conformité. Examen de l'intérêt actuel au recours, les travaux de mise en conformité des locaux ordonnés ayant été exécutés par le bailleur, aux dires de la recourante. Question laissée indécise de savoir si la décision a été entièrement exécutée, la question de la responsabilité des défaillances constatées pourrait être posée en tout temps, dans des circonstances semblables. En tant que locataire et exploitante des restaurants concernés par l'ordre de remise en conformité, la recourante a la qualité de perturbatrice par situation et par comportement. Le département n'a pas abusé de son pouvoir d'appréciation en dirigeant l'ordre de mise en conformité contre la recourante plutôt qu'à l'encontre des propriétaires, compte tenu des circonstances.</w:t>
      </w:r>
    </w:p>
    <w:p>
      <w:pPr>
        <w:pStyle w:val="Heading2"/>
      </w:pPr>
      <w:r>
        <w:t>Erwägungen</w:t>
      </w:r>
    </w:p>
    <w:p>
      <w:r>
        <w:rPr>
          <w:b/>
        </w:rPr>
        <w:t>E. 26</w:t>
      </w:r>
    </w:p>
    <w:p>
      <w:r>
        <w:t>septembre 2010 - LOJ - E 2 05 ; art. 62 al. 1 let. a de la loi sur la procédure administrative du 12 septembre 1985 - LPA - E 5 10). 2)</w:t>
      </w:r>
    </w:p>
    <w:p>
      <w:r>
        <w:t>La recourante estime que c’est à tort que la décision de mise en conformité lui a été adressée et même si les travaux exigés par la décision ont été exécutés, elle estime conserver un intérêt à ce que la question soit tranchée par la chambre administrative. 3) a.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w:t>
      </w:r>
    </w:p>
    <w:p>
      <w:r>
        <w:t>b. La jurisprudence a précisé que les lettres a et b de la disposition précitée doivent se lire en parallèle : ainsi, le particulier qui ne peut faire valoir un intérêt digne de protection ne saurait être admis comme partie recourante, même s’il était partie à la procédure de première instance (ATA/359/2017 précité ; ATA/1059/2015 du 6 octobre 2015 et les nombreux arrêts cités).</w:t>
      </w:r>
    </w:p>
    <w:p>
      <w:r>
        <w:t>Selon la jurisprudence du Tribunal fédéral, un intérêt digne de protection suppose un intérêt actuel à obtenir l’annulation de la décision attaquée (ATF 138 II 42 consid. 1 ; arrêt du Tribunal fédéral 2C_406/2016 du 26 mai 2016 consid. 3.2 ; ATA/610/2017 du 30 mai 2017 ; Jacques DUBEY/ Jean-Baptiste ZUFFEREY, Droit administratif général, 2014, p. 734 n. 2084 ; Pierre MOOR/ Etienne POLTIER, Droit administratif, vol. 2, 3ème éd., 2011, p. 748 n. 5.7.2.3 ; Thierry TANQUEREL, Manuel de droit administratif, 2011, p. 449 n. 1367).</w:t>
      </w:r>
    </w:p>
    <w:p>
      <w:r>
        <w:t>L’existence d’un intérêt actuel s’apprécie non seulement au moment du dépôt du recours, mais aussi lors du prononcé de la décision sur recours (ATF 137 I 296 consid. 4.2 ; 136 II 101 consid. 1.1) ; si l’intérêt s’éteint pendant la procédure, le recours, devenu sans objet, doit être simplement radié du rôle (ATF 125 V 373 consid. 1) ou déclaré irrecevable si l’intérêt actuel faisait déjà défaut au moment du dépôt du recours (ATF 139 I 206 consid. 1.1 et la jurisprudence citée)</w:t>
      </w:r>
    </w:p>
    <w:p>
      <w:r>
        <w:t>La condition de l’intérêt actuel fait défaut lorsque, par exemple, la décision ou la loi est révoquée ou annulée en cours d’instance (ATF 111 Ib 182 consid. 2 p. 185 ; ATA/124/2005 du 8 mars 2005), la décision attaquée a été exécutée et a sorti tous ses effets (ATF 125 I 394 consid. 4 ; ATA/610/2017 du 20 mai 2017 ; ATA/193/2013 du 26 mars 2013). Il en va de même en cas de recours contre la décision de remise en état lorsque l'objet de la contestation porte sur un bâtiment dont le recourant n'est plus propriétaire et que le nouveau propriétaire, qui n'a pas recouru contre l'arrêt attaqué, a indiqué s'y soumettre (arrêt du Tribunal fédéral</w:t>
      </w:r>
    </w:p>
    <w:p>
      <w:r>
        <w:t>- 8/13 - A/2025/2016 1C_495/2014 du 23 février 2015 consid. 1.3). De cette manière, les tribunaux sont assurés de trancher uniquement des questions concrètes et non de prendre des décisions à caractère théorique, ce qui répond à un souci d’économie de procédure (ATF 136 I 274 consid. 1.3 ; arrêt du Tribunal fédéral 1C_495/2014 du 23 février 2015 consid. 1.2).</w:t>
      </w:r>
    </w:p>
    <w:p>
      <w:r>
        <w:t>Il est toutefois exceptionnellement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140 IV 74 consid. 1.3 ; 139 I 206 consid. 1.1 ; arrêt du Tribunal fédéral 2C_1157/2014 du 3 septembre 2015 consid. 5.2 ; ATA/1135/2017 du 2 août 2017 ; ATA/288/2017 du 14 mars 2017 ; François BELLANGER, La qualité pour recourir, in François BELLANGER/Thierry TANQUEREL, Le contentieux administratif, 2013, p. 121). 4)</w:t>
      </w:r>
    </w:p>
    <w:p>
      <w:r>
        <w:t>En l’espèce, bien que la recourante affirme que le bailleur ait finalement réalisé tous les travaux requis, le département a déclaré, en date du 1er mars 2017 que, fondé sur le contrôle des lieux du 27 octobre 2016, il avait pu constater que l’ensemble des travaux ordonnés n’avait pas été effectué. Ces observations ont entièrement été contestées par la recourante. En réponse, le département s’est contenté d’indiquer que, si les travaux avaient bien été effectués, aucun intérêt au recours ne subsistait.</w:t>
      </w:r>
    </w:p>
    <w:p>
      <w:r>
        <w:t>Au vu de ce qui précède, la question de savoir si la décision a été entièrement exécutée souffrira de rester indécise puisqu’au vu des circonstances du cas d’espèce, la question de la responsabilité des défaillances constatées pourrait être posée en tout temps, dans des circonstances semblables, notamment par une décision exécutoire nonobstant recours assortie d’une menace de dénonciation au PCTN en vue d’un retrait de l’autorisation d’exploiter les restaurants, telle que celle litigieuse.</w:t>
      </w:r>
    </w:p>
    <w:p>
      <w:r>
        <w:t>Il faut donc conclure qu’il subsiste un intérêt actuel à trancher la question de savoir si c’est à bon droit que l’ordre de mise en conformité a été adressé à la recourante plutôt qu’aux propriétaires des immeubles. Le recours est dès lors recevable. 5)</w:t>
      </w:r>
    </w:p>
    <w:p>
      <w:r>
        <w:t>La recourante demande qu’il soit procédé à l’audition d’un témoin pouvant attester que la ventilation de l’immeuble sis 2______ n’a pas été modifiée depuis les années 1980.</w:t>
      </w:r>
    </w:p>
    <w:p>
      <w:r>
        <w:t>Le droit d'être entendu, garanti par les art. 29 al. 2 de la Constitution fédérale de la Confédération suisse du 18 avril 1999 (Cst. - RS 101) et 41 LPA, comprend, en particulier, le droit pour la personne concernée de s'expliquer avant</w:t>
      </w:r>
    </w:p>
    <w:p>
      <w:r>
        <w:t>- 9/13 - A/2025/2016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 Ce droit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 134 I 140 consid. 5.3).</w:t>
      </w:r>
    </w:p>
    <w:p>
      <w:r>
        <w:t>En l’occurrence, la chambre de céans dispose d’un dossier complet et les faits sur lesquels porterait la mesure d’instruction sollicitée par la recourante ne pourraient pas avoir d’incidence sur l’issue du litige, comme cela ressortira des considérants ci-après. 6)</w:t>
      </w:r>
    </w:p>
    <w:p>
      <w:r>
        <w:t>Une construction, une installation et d’une manière générale, toute chose doit remplir en tout temps les conditions de sécurité et de salubrité exigées par la loi sur les constructions et les installations diverses du 14 avril 1988 (LCI - L 5 05), son règlement d’application ou les autorisations délivrées en application de ces dispositions légales et réglementaires (art. 121 al. 1 LCI). Les exigences imposées pour les constructions et les installations en matière de prévention des incendies sont notamment régies par la norme de protection incendie et les directives de l’AEAI (ci-après : norme AEAI), applicable à titre de droit intercantonal et cantonal (art. 121 al. 2 LCI notamment ; arrêt du Tribunal fédéral 1C_340/2015 ; 1C_303/2010 du 28 septembre 2010).</w:t>
      </w:r>
    </w:p>
    <w:p>
      <w:r>
        <w:t>À teneur de la norme AEAI, les propriétaires et les exploitants de bâtiments et d’autres ouvrages veillent à garantir la sécurité des personnes et des biens (art. 19 norme AEAI – devoir de diligence). Les mêmes doivent entretenir les équipements de protection et de défense incendie ainsi que les installations techniques, conformément aux prescriptions et garantir leur fonctionnement en tout temps (art. 20 norme AEAI – devoir d’entretien). 7) a. Lorsque l’état d’une construction, d’une installation ou d’une autre chose n’est pas conforme aux prescriptions de la LCI, des règlements qu’elle prévoit ou des autorisations délivrées en application de ces dispositions légales ou règlementaires, le département peut notamment ordonner la remise en état, la réparation, la modification, la suppression ou la démolition (art. 129 let. e et 130 LCI).</w:t>
      </w:r>
    </w:p>
    <w:p>
      <w:r>
        <w:t>b. Les propriétaires ou leurs mandataires, les entrepreneurs et les usagers sont tenus de se conformer aux mesures ordonnées par le département en application</w:t>
      </w:r>
    </w:p>
    <w:p>
      <w:r>
        <w:t>- 10/13 - A/2025/2016 des art. 129 et 130 LCI (art. 131 LCI). Le département notifie aux intéressés, par lettre recommandée, les mesures qu’il ordonne. Il fixe un délai pour leur exécution, à moins qu’il n’invoque l’urgence (art. 132 al. 1 LCI).</w:t>
      </w:r>
    </w:p>
    <w:p>
      <w:r>
        <w:t>c. De jurisprudence constante, pour être valable, un ordre de mise en conformité doit respecter cinq conditions, dont quatre ne sont pas litigieuses ici, et celle qui veut que l'ordre doit être dirigé contre le perturbateur (ATF 114 Ib 44 consid. 2a = JdT 1990 I 482 ; ATF 107 Ia 19 consid. 2a = JdT 1983 I 290 ; ATA/1333/2015 du 15 décembre 2015).</w:t>
      </w:r>
    </w:p>
    <w:p>
      <w:r>
        <w:t>d. Selon la jurisprudence, le perturbateur est celui qui a occasionné un dommage ou un danger par lui-même ou par le comportement d’un tiers relevant de sa responsabilité (perturbateur par comportement), mais aussi celui qui exerce sur l’objet qui a provoqué une telle situation un pouvoir de fait ou de droit (perturbateur par situation ; ATF 139 II 185 consid. 14.3.2 ; 136 I 1 consid. 4.4.3 p. 11 ; 122 II 65 consid. 6a ; ATA/1333/2015 précité ; ATA/83/2014 du 12 février 2014).</w:t>
      </w:r>
    </w:p>
    <w:p>
      <w:r>
        <w:t>Le perturbateur par situation correspond avant tout au propriétaire, mais il peut également s'agir du locataire, le critère déterminant étant le pouvoir de disposition, qui permet à celui qui le détient de maintenir la chose dans un état conforme à la réglementation en vigueur (ATF 114 Ib 44 consid. 2c/aa = JdT 1990 I 482 ; ATA/1333/2015 précité)</w:t>
      </w:r>
    </w:p>
    <w:p>
      <w:r>
        <w:t>Selon la jurisprudence, la responsabilité en raison du comportement et celle qui découle de la situation peuvent coexister et l'obligation d'éliminer la perturbation peut être imposée alternativement ou cumulativement à tout perturbateur, aussi bien de comportement que de situation. L'autorité compétente doit jouir d'une certaine marge d'appréciation dans le choix de la personne à laquelle incombera l'obligation d'éliminer la perturbation (ATF 107 Ia 19 consid. 2b = JdT 1983 I 290). Dans l’examen du choix du perturbateur, le Tribunal fédéral a relevé que si la perturbation ou le danger devaient être éliminés aussi rapidement que possible afin d'éviter de trop grands dommages – cas de pollution des eaux, de danger d'effondrement d'une maison –, le choix se porterait sur le perturbateur le plus proche du foyer du danger et techniquement apte à éliminer personnellement le danger. Si en revanche le rétablissement de l'état primitif n’était pas spécialement urgent et que de toute façon l'état contraire au droit avait déjà duré un temps relativement long – par exemple une décharge non autorisée et qui ne met pas en danger l'eau souterraine –, on pouvait adopter pour l'élimination une autre réglementation, si possible plus affinée, qui ne se déterminerait pas – ou pas exclusivement – en fonction de la nécessité d'une action rapide et efficace. Par ailleurs, les perturbateurs par comportement devaient si possible entrer en considération avant les perturbateurs par situation (ATF 107 Ia 19 consid. 2b = JdT 1983 I 290 et les références citées ; ATA/1333/2015 précité).</w:t>
      </w:r>
    </w:p>
    <w:p>
      <w:r>
        <w:t>- 11/13 - A/2025/2016 8)</w:t>
      </w:r>
    </w:p>
    <w:p>
      <w:r>
        <w:t>La société, unique destinataire de la décision, est locataire de l’intégralité des immeubles. Elle sous-loue les appartements situés dans les étages et exploite les deux établissements de restauration sis dans les arcades du rez-de-chaussée et au sous-sol. En sa qualité de locataire, elle s’est vu céder l’usage des locaux par le bailleur (art. 253 de la loi fédérale complétant le Code civil suisse du 30 mars 1911 - Livre cinquième : Droit des obligations - CO - RS 220).</w:t>
      </w:r>
    </w:p>
    <w:p>
      <w:r>
        <w:t>S’agissant d’un ordre de mise en conformité concernant la sécurité incendie liée notamment à des conduits d’extraction des cuisines des établissements de restauration ainsi qu’à l’absence de cloisonnement coupe-feu entre des locaux situés au sous-sol et les voies d’évacuation de l’immeuble et d’un des établissements, tels que dessinés sur les plans d’une autorisation de construire que la recourante a elle-même requise, sa qualité de perturbatrice par situation et par comportement est indéniable, au vu des définitions données ci-dessus.</w:t>
      </w:r>
    </w:p>
    <w:p>
      <w:r>
        <w:t>En tant que locataire et exploitante, la recourante était la personne la plus à même de procéder à la remise en conformité et cela, même si les propriétaires, répondent également à la définition de perturbateurs par situation. Compte tenu notamment du litige opposant les deux propriétaires au sujet de la propriété même de l’un des immeubles, dont le département était dûment informé, il faut considérer que l’autorité intimée, se fondant sur l’intérêt public à l’application des mesures en matière de sécurité incendie, n’a pas abusé de son pouvoir d’appréciation en dirigeant l’ordre de mise en conformité contre la recourante plutôt qu’à l’encontre des propriétaires.</w:t>
      </w:r>
    </w:p>
    <w:p>
      <w:r>
        <w:t>Le grief de la recourante sera par conséquent écarté. 9)</w:t>
      </w:r>
    </w:p>
    <w:p>
      <w:r>
        <w:t>Au vu de ce qui précède, la décision de mise en conformité du département s’avérant conforme au droit, le recours contre le jugement du TAPI confirmant cette décision sera rejeté. 10) Vu l’issue du litige, un émolument de CHF 1'000.- sera mis à la charge de la recourante (art. 87 al. 1 LPA) et aucune indemnité de procédure ne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