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ATA/709/2023 vom 29. Juni 2023</w:t>
      </w:r>
    </w:p>
    <w:p>
      <w:r>
        <w:t>GE Cour de justice, 2023-06-29, FR</w:t>
      </w:r>
    </w:p>
    <w:p>
      <w:r>
        <w:rPr>
          <w:b/>
        </w:rPr>
        <w:t xml:space="preserve">Quelle: </w:t>
      </w:r>
      <w:r>
        <w:t>https://mcp.opencaselaw.ch/entscheid/ge_gerichte_ATA_709_2023</w:t>
      </w:r>
    </w:p>
    <w:p>
      <w:r>
        <w:t>FR: GE_GERICHTE ATA/709/2023 du 29 juin 2023</w:t>
      </w:r>
    </w:p>
    <w:p>
      <w:r>
        <w:t>IT: GE_GERICHTE ATA/709/2023 del 29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1.1</w:t>
      </w:r>
    </w:p>
    <w:p>
      <w:r>
        <w:t>Selon l'art. 10 al. 2 de la loi d'application de la loi fédérale sur les étrangers du 16 juin 1988 (LaLEtr - F 2 10), la chambre administrative doit statuer dans les dix jours qui suivent sa saisine. Ayant reçu le recours le 19 juin 2023 et statuant ce jour, elle respecte ce délai.</w:t>
      </w:r>
    </w:p>
    <w:p>
      <w:r>
        <w:rPr>
          <w:b/>
        </w:rPr>
        <w:t>E. 1.2</w:t>
      </w:r>
    </w:p>
    <w:p>
      <w:r>
        <w:t>À teneur dudit art. 10 LaLEtr, la chambre de céans est compétente pour apprécier l'opportunité des décisions portées devant elle en cette matière (al. 2 2ème phr.). 2. La recourante conteste que les conditions permettant le prononcé d’une mesure d’interdiction territoriale soient remplies. 2.1 Aux termes de l’art.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 L'ALCP ne réglemente pas en tant que telle l'interdiction de pénétrer dans une région déterminée. C'est donc l'art. 74 LEI qui est applicable. Toutefois, cette disposition doit être interprétée en tenant compte des exigences spécifiques de l'ALCP. Ainsi, l'art. 74 LEI ne saurait</w:t>
      </w:r>
    </w:p>
    <w:p>
      <w:r>
        <w:t>- 5/10 - A/1716/2023 aboutir à priver les étrangers au bénéfice de l'ALCP des droits que leur confère ce traité (ATF 139 II 121 consid. 5.1 applicable par analogie). 2.2 Examinant une mesure d'interdiction d'entrer en Suisse prononcée à l’égard d’un ressortissant d’un État membre de l’ALPC, le Tribunal fédéral a relevé qu’une telle restriction à la libre circulation des personnes, devait, contrairement à ce qui vaut pour les ressortissants d'États non-parties à l'ALCP, aussi se conformer à l'exigence de l'art. 5 par. 1 annexe I ALCP, selon laquelle le droit de demeurer en Suisse pour y exercer une activité lucrative ne peut être limité que par des mesures d'ordre ou de sécurité publics (ATF 139 II 121 consid. 5.3). 2.3 S’agissant d’une interdiction de pénétrer dans un certain territoire concernant en particulier un ressortissant d'un État partie à l'ALCP, il faut que la personne concernée représente une menace d'une certaine gravité pour l'ordre et la sécurité publics de nature à la priver de son droit de demeurer en Suisse au sens de l'art. 5 Annexe I de l’ALCP (ATF 139 II 121 5.4 et les références citées).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 136 II 5 consid. 4.2 ; 134 II 10 consid. 4.3). 2.4 Aux termes de l'art. 74 al. 1 let. a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2.5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loi fédérale sur les stupéfiants et les substances psychotropes du 3 octobre 1951 (LStup - RS 812.121).</w:t>
      </w:r>
    </w:p>
    <w:p>
      <w:r>
        <w:t>- 6/10 - A/1716/2023 2.6 Aux termes de l’art. 24 al. 1 Annexe I de l’ALCP,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devoir faire appel à l’aide sociale pendant leur séjour ; b) d’une assurance-maladie couvrant l’ensemble des risques. 2.7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 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2.8 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w:t>
      </w:r>
    </w:p>
    <w:p>
      <w:r>
        <w:rPr>
          <w:b/>
        </w:rPr>
        <w:t>E. 05</w:t>
      </w:r>
    </w:p>
    <w:p>
      <w:r>
        <w:t>; art. 62 al. 1 let. a de la loi sur la procédure administrative du 12 septembre 1985 - LPA - E 5 10).</w:t>
      </w:r>
    </w:p>
    <w:p>
      <w:r>
        <w:rPr>
          <w:b/>
        </w:rPr>
        <w:t>E. 5</w:t>
      </w:r>
    </w:p>
    <w:p>
      <w:r>
        <w:t>août 2021 consid.3.4.2 ; 2C_796/2018 du 4 février 2019 consid. 4.2).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w:t>
      </w:r>
    </w:p>
    <w:p>
      <w:r>
        <w:t>- 7/10 - A/1716/2023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2.9 Selon l’art. 96 al. 1 et 2 LEI, les autorités compétentes tiennent compte, en exerçant leur pouvoir d’appréciation, des intérêts publics, de la situation personnelle de l’étranger, ainsi que de son intégration. Lorsqu’une mesure serait justifiée, mais qu’elle n’est pas adéquate, l’autorité compétente peut donner un simple avertissement à la personne concernée. 2.10 En l'espèce, il convient, en premier lieu, de relever que le TAPI a retenu que la recourante n’était pas au bénéfice d’un titre de séjour en Suisse et que sa nationalité française ne s’opposait pas à une mesure d’interdiction territoriale, dont il a ensuite examiné les conditions, les estimant remplies. En tant que la recourante se plaint d’un défaut de motivation du jugement entrepris, son grief doit donc être rejeté. Cela étant relevé, c’est à juste titre que le TAPI a constaté que la recourante n'était pas au bénéfice d'une autorisation de courte durée (art. 32 LEI), de séjour (art. 33 LEI) ou d'établissement en Suisse (art. 34 LEI). Contrairement à ce que l’intéressée soutient, le fait qu’elle disposerait de moyens financiers suffisants pour séjourner pendant quatre heures en Suisse et d’une assurance-maladie, ne permet pas de retenir qu’elle remplirait les conditions d’octroi d’une autorisation de séjour. Une telle autorisation ne peut, au demeurant, être octroyée pour quelques heures. En outre, la recourante, qui a indiqué à la police être sans emploi et ne pas disposer de moyens de subsistance, ne remplirait manifestement pas les conditions d’octroi d’une autorisation de séjour selon l’art. 24 al. 1 Annexe I ALCP. La recourante a reconnu, lors de son audition par la police, qu’elle était venue à Genève dans le but de commettre des vols à l'étalage. Elle a été condamnée pour vol d’importance mineure au sens de l’art. 172 CP, mais également pour vol au sens de l’art. 139 CP. Cette dernière infraction constitue un crime au sens de l’art.</w:t>
      </w:r>
    </w:p>
    <w:p>
      <w:r>
        <w:rPr>
          <w:b/>
        </w:rPr>
        <w:t>E. 10</w:t>
      </w:r>
    </w:p>
    <w:p>
      <w:r>
        <w:t>al. 2 CP, soit la catégorie d’infractions le plus sévèrement réprimandée par le CP. Ces éléments sont d’une certaine gravité. Ils doivent cependant être appréciés à l’aune de l’ensemble des circonstances du cas d’espèce. En particulier, il convient de tenir compte du jeune âge de l’intéressée, du fait qu’elle cherche un emploi à Genève, qu’elle n’a pas d’antécédents pénaux et que les infractions</w:t>
      </w:r>
    </w:p>
    <w:p>
      <w:r>
        <w:t>- 8/10 - A/1716/2023 commises n’ont pas impliqué de recours à la violence ni la mise en danger de la santé ou de la vie d’autrui. Dans ces circonstances, l’interdiction de périmètre prononcée à son encontre ne respecte pas le principe de la proportionnalité. En effet, la mesure restreint de manière excessive ses recherches d’emploi dans le canton de Genève, qui impliquent de pouvoir se présenter, y compris spontanément, auprès d’éventuels employeurs, étant rappelé qu’en tant que ressortissante française, elle dispose, en principe, d’un droit à pouvoir accéder au marché de l’emploi en Suisse. En outre, si elle devait trouver un emploi, la mesure querellée l’empêcherait de pouvoir se déplacer dans le canton, que ce soit dans l’accomplissement de son travail ou à l’occasion d’évènements sociaux liés à l’exercice de cette activité. La restriction apportée à la liberté de la recourante de se mouvoir dans le canton de Genève est donc excessive. Un avertissement, au sens de l’art. 96 al. 2 LEI, permet de respecter le principe de la proportionnalité et apparaît apte et nécessaire pour faire prendre conscience à la recourante de la nécessité de ne pas commettre d’actes délictueux si elle entend continuer à pouvoir librement circuler dans le canton de Genève. Au vu de ce qui précède, le recours sera partiellement admis. Le jugement attaqué ainsi que l’interdiction de pénétrer dans le canton de Genève prononcée par le commissaire de police seront annulés et le dossier renvoyé à ce dernier, afin qu’il prononce un avertissement au sens de l’art. 96 LEI à l’encontre de la recourante. 3. Vu la nature du litige, il n’est pas perçu d’émolument. Vu son issue, une indemnité de procédure de CHF 1’000.- sera allouée à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