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ATA/708/2025 vom 24. Juni 2025</w:t>
      </w:r>
    </w:p>
    <w:p>
      <w:r>
        <w:t>GE Cour de justice, 2025-06-24, FR</w:t>
      </w:r>
    </w:p>
    <w:p>
      <w:r>
        <w:rPr>
          <w:b/>
        </w:rPr>
        <w:t xml:space="preserve">Quelle: </w:t>
      </w:r>
      <w:r>
        <w:t>https://mcp.opencaselaw.ch/entscheid/ge_gerichte_ATA_708_2025</w:t>
      </w:r>
    </w:p>
    <w:p>
      <w:r>
        <w:t>FR: GE_GERICHTE ATA/708/2025 du 24 juin 2025</w:t>
      </w:r>
    </w:p>
    <w:p>
      <w:r>
        <w:t>IT: GE_GERICHTE ATA/708/2025 del 24 giugno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1.1</w:t>
      </w:r>
    </w:p>
    <w:p>
      <w:r>
        <w:t>La juridiction administrative qui rend la décision statue sur les frais de procédure et les émoluments (art. 87 al. 1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De jurisprudence constante, la juridiction saisie dispose d'un large pouvoir d'appréciation dans la quotité de l'indemnité allouée et celle-ci ne constitue qu'une participation aux honoraires d'avocat, ce qui résulte aussi, implicitement, de l'art. 6 RFPA dès lors que ce dernier plafonne l'indemnité à CHF 10'000.- (ATA/962/2024 du 20 août 2024 consid. 2.3 ; ATA/1272/2022 du 19 décembre 2022 consid. 2b). Pour déterminer le montant de l'indemnité, il convient de prendre en compte les différents actes d'instruction, le nombre d'échanges d'écritures et d'audiences. Le montant retenu doit intégrer la complexité de l'affaire et l'importance et la pertinence des écritures produites (ATA/962/2024 précité consid. 2.4 ; ATA/1272/2022 précité consid. 2c).</w:t>
      </w:r>
    </w:p>
    <w:p>
      <w:r>
        <w:rPr>
          <w:b/>
        </w:rPr>
        <w:t>E. 1.2</w:t>
      </w:r>
    </w:p>
    <w:p>
      <w:r>
        <w:t>En l’espèce, il ressort de l’arrêt du Tribunal fédéral que c’est à tort que la chambre administrative a rejeté le recours de l’intéressé contre la décision de la PCTN constatant la caducité de son AUADP. Il n’y a donc pas lieu de percevoir d’émolument pour la procédure antérieure. L’activité du mandataire du recourant a consisté dans la rédaction de deux écritures, comportant la description des faits pertinents, une argumentation juridique et des conclusions, ainsi que dans la participation à une audience tenue devant la chambre de céans, qui a duré 55 minutes. La cause était sans complexité factuelle et juridique même si son issue, dont dépendait le droit du recourant à la prolongation de son AUADP, revêtait pour lui une importance économique certaine. Au vu de l'ensemble de ces éléments, l'octroi au recourant d'une indemnité de procédure de CHF 2’000.- à la charge de l'État de Genève apparaît adéquat, étant rappelé que telle indemnité ne constitue qu'une participation aux honoraires d'avocat et qu'elle ne peut concerner que les frais indispensables causés par le recours (et donc une période allant de la notification de la décision attaquée du 12 janvier 2024, au prononcé de l'arrêt de la chambre administrative le 8 octobre 2024).</w:t>
      </w:r>
    </w:p>
    <w:p>
      <w:r>
        <w:rPr>
          <w:b/>
        </w:rPr>
        <w:t>E. 2</w:t>
      </w:r>
    </w:p>
    <w:p>
      <w:r>
        <w:t>Le présent arrêt sera rendu sans frais.</w:t>
      </w:r>
    </w:p>
    <w:p>
      <w:r>
        <w:t>* * * * *</w:t>
      </w:r>
    </w:p>
    <w:p>
      <w:r>
        <w:t>- 4/5 - A/502/2024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