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ATA/708/2013 vom 29. Oktober 2013</w:t>
      </w:r>
    </w:p>
    <w:p>
      <w:r>
        <w:t>GE Cour de justice, 2013-10-29, FR</w:t>
      </w:r>
    </w:p>
    <w:p>
      <w:r>
        <w:rPr>
          <w:b/>
        </w:rPr>
        <w:t xml:space="preserve">Quelle: </w:t>
      </w:r>
      <w:r>
        <w:t>https://mcp.opencaselaw.ch/entscheid/ge_gerichte_ATA_708_2013</w:t>
      </w:r>
    </w:p>
    <w:p>
      <w:r>
        <w:t>FR: GE_GERICHTE ATA/708/2013 du 29 octobre 2013</w:t>
      </w:r>
    </w:p>
    <w:p>
      <w:r>
        <w:t>IT: GE_GERICHTE ATA/708/2013 del 29 ottobre 2013</w:t>
      </w:r>
    </w:p>
    <w:p>
      <w:pPr>
        <w:pStyle w:val="Heading2"/>
      </w:pPr>
      <w:r>
        <w:t>Erwägungen</w:t>
      </w:r>
    </w:p>
    <w:p>
      <w:r>
        <w:rPr>
          <w:b/>
        </w:rPr>
        <w:t>E. 23</w:t>
      </w:r>
    </w:p>
    <w:p>
      <w:r>
        <w:t>novembre 2012 consid. 1). Un recours déposé le dernier jour du délai par télécopie n'est pas susceptible d'être régularisé et peut ainsi être, sans formalisme excessif, déclaré irrecevable (Arrêt du Tribunal fédéral 2C_610/2010 du 21 janvier 2011 consid. 2.3). 5)</w:t>
      </w:r>
    </w:p>
    <w:p>
      <w:r>
        <w:t>En l'espèce, la demande de mise en liberté a été formulée par télécopie, et s'inscrit dans le cadre d'une détention pour insoumission. Sa recevabilité était donc douteuse à un double titre. Concernant le dépôt de la demande par télécopie, le TAPI n'a toutefois pas imparti à M. X______ de délai pour régulariser sa demande. Dans ces conditions, la recevabilité de la demande de mise en liberté souffrira d'être laissée ouverte, le recours devant de toute façon être rejeté pour les motifs qui suivent. 6)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w:t>
      </w:r>
    </w:p>
    <w:p>
      <w:r>
        <w:t>- 7/10 - A/3241/2013</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w:t>
      </w:r>
    </w:p>
    <w:p>
      <w:r>
        <w:t>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7)</w:t>
      </w:r>
    </w:p>
    <w:p>
      <w:r>
        <w:t>En l’espèce, M. X______ fait l’objet d’une décision de renvoi de Suisse prise le 8 juillet 2009, définitive et exécutoire. Il s’est opposé à deux reprises à son renvoi en Algérie sur un vol de ligne les 25 mars et 16 mai 2013, organisé pour le deuxième avec escorte policière. Tout au long de la procédure, il n’a pas collaboré avec les autorités et s'est limité à affirmer son refus de retourner en Algérie, ce qu'il a encore fait lors de l'audience tenue devant le TAPI le 11 octobre 2013.</w:t>
      </w:r>
    </w:p>
    <w:p>
      <w:r>
        <w:t>En l’état des accords liant la Suisse et l’Algérie, le retour dans ce pays par vol spécial est exclu. Il en résulte que la collaboration du recourant est nécessaire, même pour un vol avec escorte policière. L’intéressé pouvant rapidement être mis au bénéfice d’un laissez-passer, son renvoi serait possible si, par son seul refus, il n'en empêchait l’exécution. Les conditions d’une mise en détention pour insoumission sont ainsi satisfaites, ainsi que la chambre de céans l’a déjà jugé les 4 juin et 11 septembre 2013, la situation ne s’étant à cet égard pas modifiée.</w:t>
      </w:r>
    </w:p>
    <w:p>
      <w:r>
        <w:t>- 8/10 - A/3241/2013 8)</w:t>
      </w:r>
    </w:p>
    <w:p>
      <w:r>
        <w:t>Conformément à l’art. 78 LEtr, la prolongation de ladite détention a été ordonnée pour deux mois, jusqu’au 26 novembre 2013. A cette date, elle atteindra un peu plus de sept mois, ce qui est inférieur à la durée maximale fixée par l’art. 79 al. 2 LEtr (ATA/20/2013 précité et les jurisprudences citées). 9)</w:t>
      </w:r>
    </w:p>
    <w:p>
      <w:r>
        <w:t>Le recourant met en avant divers éléments qui, selon lui, interdiraient l'exécution du renvoi ou rendraient la détention disproportionnée : ‒ son état de santé et le traitement médicamenteux auquel il était astreint et qu'il souhaitait continuer. La lecture du certificat médical du Dr L______, produit dans la procédure A/3056/2013 ayant débouché sur l'ATA/685/2013 du 14 octobre 2013, indique que la prise de l'un des médicaments prescrit, le Temesta, ne peut être interrompue brusquement. Cet élément devra certes être pris en compte par le recourant s'il se décide à repartir dans son pays, mais ne saurait empêcher l'exécution du renvoi et justifier la levée de la mesure litigieuse, dès lors que, sans qu'il soit nécessaire de savoir si le Temesta est disponible en Algérie, une interruption de la prise de ce médicament est possible. Il en va de même pour la méthadone, les conséquences d'un arrêt brusque de ce traitement étant sans conteste désagréables mais sans risque vital ; ‒ il était le père d'un enfant né en Suisse. Cette affirmation n'a jamais été prouvée ou démontrée, et le recourant a indiqué qu'il n'entendait pas transmettre plus de précisions à ce sujet ; ‒ il n'accepterait jamais de rentrer volontairement dans son pays d'origine. Cet élément n'est pas déterminant, dès lors que la détention pour insoumission vise précisément à obtenir une modification de refus, lequel en est une condition. 10) 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 11) En tous points mal fondé, le recours, qui ne présente absolument aucun élément nouveau par rapport à celui interjeté le 4 octobre 2013 - rejeté par la chambre de céans le 14 octobre 2013 - et qui confine ainsi à l'abus de droit, sera rejeté. 12) Vu la nature du litige, il ne sera pas perçu d’émolument (art. 87 al. 1 de la loi sur la procédure administrative du 12 septembre 1985 - LPA - E 5 10) et art. 12 du règlement sur les frais, émoluments et indemnités en procédure administrative du 30 juillet 1986 (RFPA - E 5 10.03). Vu l’issue du litige, aucune indemnité de procédure ne sera allouée au recourant (art. 87 al. 2 LPA).</w:t>
      </w:r>
    </w:p>
    <w:p>
      <w:r>
        <w:t>- 9/10 - A/3241/2013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