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ATA/707/2021 vom 6. Juli 2021</w:t>
      </w:r>
    </w:p>
    <w:p>
      <w:r>
        <w:t>GE Cour de justice, 2021-07-06, FR</w:t>
      </w:r>
    </w:p>
    <w:p>
      <w:r>
        <w:rPr>
          <w:b/>
        </w:rPr>
        <w:t xml:space="preserve">Quelle: </w:t>
      </w:r>
      <w:r>
        <w:t>https://mcp.opencaselaw.ch/entscheid/ge_gerichte_ATA_707_2021</w:t>
      </w:r>
    </w:p>
    <w:p>
      <w:r>
        <w:t>FR: GE_GERICHTE ATA/707/2021 du 6 juillet 2021</w:t>
      </w:r>
    </w:p>
    <w:p>
      <w:r>
        <w:t>IT: GE_GERICHTE ATA/707/2021 del 6 luglio 2021</w:t>
      </w:r>
    </w:p>
    <w:p>
      <w:pPr>
        <w:pStyle w:val="Heading2"/>
      </w:pPr>
      <w:r>
        <w:t>Regeste</w:t>
      </w:r>
    </w:p>
    <w:p>
      <w:r>
        <w:t>Résumé: rejet d'un recours contestant un jugement du TAPI confirmant une décision en constatation de la nature non forestière d'un boqueteau, correspondant à un jardin arboré. Le plan et le protocole établissant les caractéristiques et fonctions forestières du boisement étaient joints à la décision de l'inspecteur des forêts au titre de motivation. Il ressortait du constat que les 1'331 m2 richement arborés d'essences indigènes de plus de 40 ans, malgré une fonction de structure paysagère significative, avait peu d'intérêt s'agissant des fonctions de biodiversité, protection, récréation et production. À cela s'ajoutait la présence d'équipement dont une clôture interdisant l'accès et un cabanon cadastré ainsi que l'absence de sous-bois.</w:t>
      </w:r>
    </w:p>
    <w:p>
      <w:pPr>
        <w:pStyle w:val="Heading2"/>
      </w:pPr>
      <w:r>
        <w:t>Erwägungen</w:t>
      </w:r>
    </w:p>
    <w:p>
      <w:r>
        <w:rPr>
          <w:b/>
        </w:rPr>
        <w:t>E. 12</w:t>
      </w:r>
    </w:p>
    <w:p>
      <w:r>
        <w:t>septembre 1985 - LPA - E 5 10). 2)</w:t>
      </w:r>
    </w:p>
    <w:p>
      <w:r>
        <w:t>Les recourants sollicitent plusieurs mesures d’instruction et font grief au TAPI de n’avoir pas donné suite à leurs requêtes, violant ainsi leur droit d’être entendu.</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w:t>
      </w:r>
    </w:p>
    <w:p>
      <w:r>
        <w:t>Le droit de faire administrer des preuves découlant du droit d'être entendu n'empêche pas l'autorité de mettre un terme à l'instruction, lorsque les preuves administrées lui ont permis de former sa conviction et que, procédant d'une</w:t>
      </w:r>
    </w:p>
    <w:p>
      <w:r>
        <w:t>- 13/20 - A/4480/2019 manière non arbitraire à une appréciation anticipée des preuves qui lui sont encore proposées, elle a la certitude que ces dernières ne pourraient l'amener à modifier son opinion (ATF 140 I 285 consid. 6.3.1 ; arrêt du Tribunal fédéral 8C_635/2016 du 3 août 2017 consid. 4.2).</w:t>
      </w:r>
    </w:p>
    <w:p>
      <w:r>
        <w:t>b. En l’espèce, plusieurs des mesures demandées par les recourants portent sur la procédure ayant mené à l’autorisation d’abattage d’arbres du 20 mars 2019, laquelle est entrée en force faute d’avoir été contestée. Celle-ci est exorbitante au litige et une telle autorisation ne s’oppose pas en soi à ce qu’une décision en constatation de la nature forestière soit prise par la suite. Partant, ces mesures ne sont pas nécessaires.</w:t>
      </w:r>
    </w:p>
    <w:p>
      <w:r>
        <w:t>De même, les mesures sollicitées en lien avec l’insertion du boisement dans le cadastre forestier ne sont pas pertinentes, ce dernier n’ayant qu’une valeur indicative et n’étant pas opposable aux tiers (art. 2 al. 4 de la loi sur les forêts du 20 mai 1999 - LForêts - M 5 10 ; art. 5 al. 2 du règlement d’application de la loi sur les forêts du 18 septembre 2019 - RForêts - M 5 10.01). En outre, le cadastre est mis à jour selon les décisions de constatation de la nature forestière prise par l’inspecteur cantonal des forêts (art. 4 al. 2 let. a LForêts et 5 al. 2 RForêts). Ces dispositions existaient d’ailleurs déjà dans la LForêts en vigueur au moment où un collaborateur de la DGNP s’était rendu sur place en 2011. L’inspecteur cantonal était alors également seul compétent pour procéder à la constatation de la nature forestière des terrains (art. 2 al. 4 et 4 al. 2 let. b aLForêts). Dans la mesure où, pour les raisons développées plus bas, les autres pièces sollicitées, telles que les photographies aériennes du boisement litigieux depuis 1930, ne sont pas pertinentes pour l'issue du présent litige, la chambre administrative renoncera à donner suite aux demandes de mesures d'instruction requises par les recourants.</w:t>
      </w:r>
    </w:p>
    <w:p>
      <w:r>
        <w:t>À l'instar du TAPI qui n’a dès lors nullement violé le droit d’être entendus des recourants, la chambre de céans considère que le dossier, qui contient de nombreuses photographies de la parcelle, est complet et en état d'être jugé.</w:t>
      </w:r>
    </w:p>
    <w:p>
      <w:r>
        <w:t>Il convient encore de préciser que les coupes de bois dénoncées par les recourants voisins en août 2020, qu’ils voudraient voir instruites, ont eu lieu après que la décision litigieuse a été prise et ne peuvent donc avoir eu aucune influence sur celle-ci.</w:t>
      </w:r>
    </w:p>
    <w:p>
      <w:r>
        <w:t>En conséquence, le grief sera écarté et la requête de mesures d'instruction refusée. 3)</w:t>
      </w:r>
    </w:p>
    <w:p>
      <w:r>
        <w:t>Les recourants contestent la décision en constatation de la nature non forestière de la parcelle des intimés, confirmée par le TAPI.</w:t>
      </w:r>
    </w:p>
    <w:p>
      <w:r>
        <w:t>a. Selon l'art. 61 al. 1 LPA, le recours peut être formé pour violation du droit, y compris l'excès et l'abus du pouvoir d'appréciation (let. a), ou pour constatation</w:t>
      </w:r>
    </w:p>
    <w:p>
      <w:r>
        <w:t>- 14/20 - A/4480/2019 inexacte ou incomplète des faits pertinents (let. b). Les juridictions administratives n'ont pas la compétence pour apprécier l'opportunité de la décision attaquée, sauf exceptions prévues par la loi (art. 61 al. 2 LPA), non réalisées dans le cas d'espèce.</w:t>
      </w:r>
    </w:p>
    <w:p>
      <w:r>
        <w:t>b. La loi fédérale sur les forêts du 4 octobre 1991 (LFo - RS 921.0) a pour but général la protection des forêts, notamment la conservation de l'aire forestière (art. 1 et 3 LFo).</w:t>
      </w:r>
    </w:p>
    <w:p>
      <w:r>
        <w:t>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w:t>
      </w:r>
    </w:p>
    <w:p>
      <w:r>
        <w:t>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w:t>
      </w:r>
    </w:p>
    <w:p>
      <w:r>
        <w:t>Selon l'art. 1 de l’ordonnance sur les forêts du 30 novembre 1992 (OFo - RS 921.01), les cantons précisent les valeurs requises pour qu'une surface boisée soit reconnue comme forêt, dans les limites suivantes : a. surface comprenant une lisière appropriée : 200 à 800 m2 ; b. largeur comprenant une lisière appropriée : 10 à 12 m ; c. âge du peuplement sur une surface conquise par la forêt : 10 à 20 ans.</w:t>
      </w:r>
    </w:p>
    <w:p>
      <w:r>
        <w:t>Les critères quantitatifs que les cantons peuvent fixer, dans les limites de l'art. 1 al.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(ATF 125 II 440 consid. 3 ; arrêt 1A.13/2005 du 24 juin 2005 consid. 4.2). À l'inverse, même en présence de ces critères quantitatifs, les critères qualitatifs peuvent être décisifs pour la qualification de forêt (arrêts du Tribunal fédéral 1A.141/2001 du 20 mars 2002 consid. 4.1 publié in ZBl 104/2003 p. 380 et résumé in RDAF 2004 I 734; 1A.225/2005 du 17 octobre 2006 consid. 6.3). Dans cette appréciation, il n'y a pas lieu de procéder à une pondération des intérêts privés ou publics (ATF 124 II 85 consid. 3 et les références citées).</w:t>
      </w:r>
    </w:p>
    <w:p>
      <w:r>
        <w:t>- 15/20 - A/4480/2019</w:t>
      </w:r>
    </w:p>
    <w:p>
      <w:r>
        <w:t>c. 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w:t>
      </w:r>
    </w:p>
    <w:p>
      <w:r>
        <w:t>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 d'eau (art. 2 al. 2 let. c LForêts) qui assurent la protection des berges et soulignent le paysage de façon marquée, remplissant ainsi l'une des fonctions forestières dont il est question à l'art. 1 let. c de la loi fédérale (let. c) (Mémorial des séances du Grand Conseil 1997 4/I610).</w:t>
      </w:r>
    </w:p>
    <w:p>
      <w:r>
        <w:t>d. Du point de vue qualitatif,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w:t>
      </w:r>
    </w:p>
    <w:p>
      <w:r>
        <w:t>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w:t>
      </w:r>
    </w:p>
    <w:p>
      <w:r>
        <w:rPr>
          <w:b/>
        </w:rPr>
        <w:t>E. 17</w:t>
      </w:r>
    </w:p>
    <w:p>
      <w:r>
        <w:t>octobre 2006 et les références citées).</w:t>
      </w:r>
    </w:p>
    <w:p>
      <w:r>
        <w:t>L'énumération de ces fonctions n'est pas exhaustive et ne reflète pas non plus un ordre de valeur ; la loi ne fixe pas de hiérarchie des fonctions, celle-ci dépend au contraire des conditions concrètes déterminantes pour chaque surface de forêt (Hans-Peter JENNI, Pour que les arbres ne cachent pas la forêt : un guide à travers la nouvelle législation sur les forêts, in cahier de l'environnement, n° 210, OFEFP 1994, ad art. 1 al. 1 LFo, p. 31).</w:t>
      </w:r>
    </w:p>
    <w:p>
      <w:r>
        <w:t>- 16/20 - A/4480/2019</w:t>
      </w:r>
    </w:p>
    <w:p>
      <w:r>
        <w:t>e. Ne peuvent ainsi être considérés comme une forêt les groupes ou alignements d'arbres isolés, les haies, les allées, les jardins, les parcs et les espaces verts (art. 2 al. 3 LFo, art. 2 al. 3 let. a et c LForêts).</w:t>
      </w:r>
    </w:p>
    <w:p>
      <w:r>
        <w:t>f. 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Mais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(ATF 113 Ib 357 ; RDAF 1999 I 601 ; ATF 98 Ib 364 ; arrêts du Tribunal fédéral 1A.141/2001 et 1A.143/2001 du 20 mars 2002 résumés in VLP/ASPAN 11/2002 ; Hans-Peter JENNI, op. cit., ad art. 2 al. 3, p. 36).</w:t>
      </w:r>
    </w:p>
    <w:p>
      <w:r>
        <w:t>g. Selon le Tribunal fédéral, 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 (arrêt du Tribunal fédéral 1C_228/2019 du 29 avril 2020 consid. 2.1.1 et les références citées). Dans le cas qui lui était soumis, le Tribunal fédéral a confirmé que la manière de fixer la limite de la forêt par l'autorité administrative était conforme à la législation et la jurisprudence en la matière alors qu'elle avait tenu compte tant de la situation antérieure pour s'écarter de la nature de gazon du sol que de la situation actuelle en se référant aux arbres d'essences forestières encore présents dans le secteur litigieux (ibidem, consid. 2.2.2 in fine).</w:t>
      </w:r>
    </w:p>
    <w:p>
      <w:r>
        <w:t>h. La nature forestière est constatée dans le cadre d'une procédure formelle. En application de l'art. 4 LForêts, il appartient à l'inspecteur des forêts de décider si un bien-fonds doit être ou non considéré comme forêt. La procédure est détaillée par le RForêts. Les décisions de constatation de la nature forestière sont publiées dans la FAO et comportent l'indication des délais et voies de recours (art. 9</w:t>
      </w:r>
    </w:p>
    <w:p>
      <w:r>
        <w:t>- 17/20 - A/4480/2019 al. 1 RForêts). Dans cette procédure, la prise de position de la CCDB ne constitue pas un préavis exigé par la loi pour que la décision de constatation de la nature d’un bien-fonds puisse être prise par l’inspecteur cantonal des forêts (art. 3 al. 2 de la loi instituant une commission consultative de la diversité biologique, a contrario - LCCDB - M 5 38). 4)</w:t>
      </w:r>
    </w:p>
    <w:p>
      <w:r>
        <w:t>En l’espèce, un plan et un protocole établissant les caractéristiques et fonctions forestières du boqueteau étaient joints à la décision de l’inspecteur des forêts au titre de motivation. Il en ressort le constat que la parcelle comporte une surface de 1'331 m2 richement arborée d’essences indigènes (hêtre, charme, pin sylvestre, chêne et érable) de plus de 40 ans. Malgré une fonction de structure paysagère « significative », le peuplement était noté comme ayant « peu d’intérêt » s’agissant des fonctions de biodiversité, protection, récréation et production. L’absence d’étage intermédiaire et de sous-bois était relevée ainsi que la présence d’équipement, dont une clôture interdisant l’accès au jardin arboré. Dans le commentaire du protocole, la structure était qualifiée de jardin arboré formant un boqueteau intéressant, dont la protection relevait du règlement sur la conservation de la végétation arborée du 27 octobre 1999 (RCVA - L 4 05.04).</w:t>
      </w:r>
    </w:p>
    <w:p>
      <w:r>
        <w:t>Il appert que les recourants ne contestent pas les caractéristiques telles qu’elles ont été constatées par l’OCAN, ni la notation des fonctions forestières telles que retenues dans le protocole motivant la décision. Ils substituent uniquement leur appréciation à celle faite par l’inspecteur cantonal des forêts en retenant que la valeur paysagère du boqueteau devrait suffire à ce qu’il soit considéré comme de nature forestière.</w:t>
      </w:r>
    </w:p>
    <w:p>
      <w:r>
        <w:t>L’inspecteur cantonal des forêts a retenu que la reconnaissance de la valeur paysagère à un niveau « significatif » était contrebalancée par les valeurs de « peu d’intérêt » de quatre autres fonctions, soit celles de biodiversité, protection, récréation et production et par l’absence de sous-bois et d’étage intermédiaire, caractéristiques types de la forêt. De plus, des installations typiques d’un jardin d’agrément figurent sur la parcelle, dont une clôture ainsi qu’un cabanon cadastré, existant depuis plus de quarante ans.</w:t>
      </w:r>
    </w:p>
    <w:p>
      <w:r>
        <w:t>Quant à l’absence de sous-bois qui, selon les recourants, aurait été supprimé « il y a peu », rien ne permet d’étayer cette affirmation et surtout, les constats fondant la décision ont été faits sur place par un spécialiste de l’OCAN en février 2019, lequel n’a pas indiqué avoir constaté de suppression récente du sous-bois et de l’étage intermédiaire. Les recourants relèvent également l’âge des arbres et le fait que le boisement fasse partie d’une surface plus importante. Toutefois, ces faits ne sont pas susceptibles de modifier l’appréciation qui a été faite par l’autorité de l’absence de nature forestière du boisement et rien ne permet d’ailleurs de retenir que l’autorité ne les aurait pas pris en considération.</w:t>
      </w:r>
    </w:p>
    <w:p>
      <w:r>
        <w:t>- 18/20 - A/4480/2019</w:t>
      </w:r>
    </w:p>
    <w:p>
      <w:r>
        <w:t>En conclusion, rien ne permet de retenir que l’inspecteur cantonal des forêts aurait abusé ou excédé le pouvoir d’appréciation que lui attribue la loi.</w:t>
      </w:r>
    </w:p>
    <w:p>
      <w:r>
        <w:t>À cet égard, le grief des recourants en lien avec la retenue dont a fait preuve le TAPI doit également être écarté puisque les caractéristiques nécessaires pour pouvoir qualifier une aire boisée de forêt ne sont pas énumérées dans la législation topique, celle-ci laissant ainsi un large pouvoir d’appréciation à l’autorité spécialisée chargée de procéder à la délimitation des forêts. Ne pas tenir compte de ce pouvoir d’appréciation prévu dans la législation serait contraire au principe de la séparation des pouvoirs. 5)</w:t>
      </w:r>
    </w:p>
    <w:p>
      <w:r>
        <w:t>Finalement, les recourants font grand cas du fait qu’une expertise a été réalisée par un ingénieur forestier à la demande des propriétaires, lequel a ensuite travaillé au sein de l’OCAN. Toutefois, il est établi que la décision litigieuse a été prise par l’inspecteur cantonal des forêts et que la décision se fonde sur des constatations faites dans le cadre de la procédure de constatation et non sur celles de l’expertise privée réalisée par les propriétaires sept ans auparavant.</w:t>
      </w:r>
    </w:p>
    <w:p>
      <w:r>
        <w:t>Leur grief sera donc écarté. 6)</w:t>
      </w:r>
    </w:p>
    <w:p>
      <w:r>
        <w:t>En tous points infondés, les recours seront rejetés.</w:t>
      </w:r>
    </w:p>
    <w:p>
      <w:r>
        <w:t>Vu l’issue du litige, un émolument de CHF 500.- sera mis à la charge solidaire de Mme et M. ZEINAL-ZADE, un émolument de CHF 500 sera mis à la charge solidaire des associations Pro Natura (art. 87 al. 1 LPA). Une indemnité de procédure de CHF 1'000.- sera allouée à Mme et M. PEREZ, à la charge, pour CHF 500.- de Mme et M. ZEINAL-ZADE, solidairement et pour CHF 500.- des associations Pro Natura,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