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ATA/706/2021 vom 6. Juli 2021</w:t>
      </w:r>
    </w:p>
    <w:p>
      <w:r>
        <w:t>GE Cour de justice, 2021-07-06, FR</w:t>
      </w:r>
    </w:p>
    <w:p>
      <w:r>
        <w:rPr>
          <w:b/>
        </w:rPr>
        <w:t xml:space="preserve">Quelle: </w:t>
      </w:r>
      <w:r>
        <w:t>https://mcp.opencaselaw.ch/entscheid/ge_gerichte_ATA_706_2021</w:t>
      </w:r>
    </w:p>
    <w:p>
      <w:r>
        <w:t>FR: GE_GERICHTE ATA/706/2021 du 6 juillet 2021</w:t>
      </w:r>
    </w:p>
    <w:p>
      <w:r>
        <w:t>IT: GE_GERICHTE ATA/706/2021 del 6 luglio 2021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mars 2021, qui ne l'a toutefois nullement replacé dans les conditions prévalant à compter du 29 juin 2017. 12) Vu l'issue du litige, il ne sera pas perçu d'émolument (art. 87 al. 1 LPA).</w:t>
      </w:r>
    </w:p>
    <w:p>
      <w:r>
        <w:t>- 16/18 -</w:t>
      </w:r>
    </w:p>
    <w:p>
      <w:r>
        <w:t>A/3700/2017</w:t>
      </w:r>
    </w:p>
    <w:p>
      <w:r>
        <w:t>La juridiction peut allouer à une partie, pour les frais indispensables occasionnés par la procédure, y compris les honoraires éventuels d'un mandataire, une indemnité de CHF 200.- à CHF 10'000.- (art. 6 du règlement sur les frais, émoluments et indemnités en procédure administrative du 30 juillet 1986 (RFPA - E 5 10.03). La juridiction saisie dispose d'un large pouvoir d'appréciation également quant à la quotité de l'indemnité allouée et, de jurisprudence constante, celle-ci ne constitue qu'une participation aux honoraires d'avocat (ATA/334/2018 du 10 avril 2018 ; ATA/1484/2017 du 14 novembre 2017), ce qui résulte aussi, implicitement, de l'art. 6 RFPA dès lors que ce dernier plafonne l'indemnité à CHF 10'000.-. Enfin, la garantie de la propriété (art. 26 Cst.) n'impose nullement une pleine compensation du coût de la défense de la partie victorieuse (arrêt du Tribunal fédéral 2C_152/2010 du 24 août 2010).</w:t>
      </w:r>
    </w:p>
    <w:p>
      <w:r>
        <w:t>Une indemnité de procédure de CHF 2'000.- sera donc allouée au recourant, à la charge de la Ville de Genève (art. 87 al. 2 LPA), somme venant en déduction de la prestation prise en charge par l'assistance juridique.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