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ATA/704/2020 vom 4. August 2020</w:t>
      </w:r>
    </w:p>
    <w:p>
      <w:r>
        <w:t>GE Cour de justice, 2020-08-04, FR</w:t>
      </w:r>
    </w:p>
    <w:p>
      <w:r>
        <w:rPr>
          <w:b/>
        </w:rPr>
        <w:t xml:space="preserve">Quelle: </w:t>
      </w:r>
      <w:r>
        <w:t>https://mcp.opencaselaw.ch/entscheid/ge_gerichte_ATA_704_2020</w:t>
      </w:r>
    </w:p>
    <w:p>
      <w:r>
        <w:t>FR: GE_GERICHTE ATA/704/2020 du 4 août 2020</w:t>
      </w:r>
    </w:p>
    <w:p>
      <w:r>
        <w:t>IT: GE_GERICHTE ATA/704/2020 del 4 agosto 2020</w:t>
      </w:r>
    </w:p>
    <w:p>
      <w:pPr>
        <w:pStyle w:val="Heading2"/>
      </w:pPr>
      <w:r>
        <w:t>Erwägungen</w:t>
      </w:r>
    </w:p>
    <w:p>
      <w:r>
        <w:rPr>
          <w:b/>
        </w:rPr>
        <w:t>E. 26</w:t>
      </w:r>
    </w:p>
    <w:p>
      <w:r>
        <w:t>septembre 2010 - LOJ - E 2 05). La décision refusant l'effet suspensif ou de mesures provisionnelles étant une décision incidente, le délai de recours est de dix jours (art. 62 al. 1 let. b de la loi sur la procédure administrative du 12 septembre 1985 - LPA-GE - E 5 10), délai qui a été observé en l'occurrence.</w:t>
      </w:r>
    </w:p>
    <w:p>
      <w:r>
        <w:t>b. Selon l'art. 57 let. c LPA, le recours contre une décision incidente est recevable si un dommage irréparable peut être causé ou si l'admission du recours peut conduire immédiatement à une décision finale qui permet d'éviter une procédure probatoire longue et coûteuse. Cette disposition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Thierry TANQUEREL, Manuel de droit administratif, 2018, 2ème éd. p. 432 n. 1265 ; Bernard CORBOZ, Le recours immédiat contre une décision incidente, SJ 1991 p. 628). Un préjudice est</w:t>
      </w:r>
    </w:p>
    <w:p>
      <w:r>
        <w:t>- 5/8 - A/1294/2020 irréparable lorsqu'il ne peut être ultérieurement réparé par une décision finale entièrement favorable au recourant (ATF 138 III 46 consid. 1.2). Un intérêt économique ou un intérêt tiré du principe de l'économie de la procédure peut constituer un tel préjudice (ATF 127 II 132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précité consid. 4).</w:t>
      </w:r>
    </w:p>
    <w:p>
      <w:r>
        <w:t>c. Il est douteux que la condition du dommage irréparable soit réalisée dans le cas d'espèce dans la mesure où en particulier le recourant ne fait pas usage d'un véhicule à des fins professionnelles, bien que tel soit son souhait, de sorte qu'il ne risque pas de perdre son emploi. Certes, il allègue des difficultés liées à ses déplacements privés, notamment à des consultations médicales, mais ne prouve pas que des frais exorbitants en découleraient ni a fortiori qu'ils seraient laissés à sa charge, étant relevé qu'il dépend de l'aide sociale. En tout état, cette question peut demeurer indécise au vu de ce qui suit. 2) a. Sauf disposition légale contraire, le recours a effet suspensif, à moins que l'autorité qui a pris la décision n'ait ordonné l'exécution nonobstant recours (art. 66 al. 1 LPA).</w:t>
      </w:r>
    </w:p>
    <w:p>
      <w:r>
        <w:t>b. Lorsqu'aucun intérêt public ou privé prépondérant ne s'y oppose, la juridiction de recours peut, sur la demande de la partie dont les intérêts sont gravement menacés, retirer ou restituer l'effet suspensif (art. 66 al. 3 LPA). Cela vaut également lorsque l'effet suspensif est retiré ex lege, l'ordonnance procédurale valant décision incidente ressortant des effets ex tunc (Cléa BOUCHAT, L'effet suspensif en procédure administrative, 2015, p. 94 n. 251).</w:t>
      </w:r>
    </w:p>
    <w:p>
      <w:r>
        <w:t>c.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w:t>
      </w:r>
    </w:p>
    <w:p>
      <w:r>
        <w:t>d.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w:t>
      </w:r>
    </w:p>
    <w:p>
      <w:r>
        <w:t>- 6/8 - A/1294/2020 qui résident dans un intérêt public ou privé prépondérant à l'absence d'exécution immédiate de la décision ou de la norme (arrêt du Tribunal fédéral 2C_1161/2013 du 27 février 2014 consid. 5.5.1 ; ATA/613/2014 du 31 juillet 2014 consid. 5).</w:t>
      </w:r>
    </w:p>
    <w:p>
      <w:r>
        <w:t>e.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f. Selon l'art. 30 al. 1 de l'ordonnance du 27 octobre 1976 réglant l'admission des personnes et des véhicules à la circulation routière du 27 octobre 1976 (OAC - RS 741.51), le retrait de sécurité a pour but de protéger la sécurité de la circulation contre les conducteurs incapables ; il est ordonné si le conducteur n'est pas en mesure de conduire des véhicules automobiles, soit pour des raisons médicales ou caractérielles, soit pour cause d'alcoolisme ou d'autres formes de toxicomanie, soit en raison d'une autre incapacité. En matière de retrait d'admonestation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(ATF 106 Ib 115 consid. 2b ; arrêt du Tribunal fédéral 1C_195/2013 du 20 mars 2013 consid. 3.2).</w:t>
      </w:r>
    </w:p>
    <w:p>
      <w:r>
        <w:t>La décision de retrait de sécurité du permis de conduire constitue une atteinte grave à la sphère privée de l'intéressé ; elle doit donc reposer sur une instruction précise des circonstances déterminantes (ATF 133 II 384 consid. 3.1; cf. en ce qui concerne le retrait justifié par des raisons médicales ou l'existence d'une dépendance: ATF 129 II 82 consid. 2.2 p. 84). Le pronostic doit être posé sur la base des antécédents du conducteur et de sa situation personnelle (ATF 125 II 492 consid. 2a p. 495). En cas de doute, il y a lieu d'ordonner un examen psychologique ou psychiatrique (art. 11b al. 1 let. b OAC ; arrêt 1C_307/2007 du 17 décembre 2007 consid. 3.2). 3)</w:t>
      </w:r>
    </w:p>
    <w:p>
      <w:r>
        <w:t>En l'espèce, le recourant fait l'objet d'une décision du SCV de retrait du permis de conduire pour une durée indéterminée du 20 mars 2020, déclarée exécutoire nonobstant recours. Le TAPI a refusé de restituer l'effet suspensif à son recours par décision du 20 mai 2020. Faire droit à sa requête en restitution d'effet suspensif reviendrait ainsi à lui permettre de conduire un véhicule automobile jusqu'à droit jugé dans la présente procédure qui est suspendue devant le TAPI dans l'attente du résultat de la procédure pénale.</w:t>
      </w:r>
    </w:p>
    <w:p>
      <w:r>
        <w:t>Comme retenu à juste titre par le TAPI dans la décision querellée, ce qui n'est pas contesté par le recourant qui a utilisé ce terme dans plusieurs des</w:t>
      </w:r>
    </w:p>
    <w:p>
      <w:r>
        <w:t>- 7/8 - A/1294/2020 courriers adressés au SCV, un assoupissement est la cause la plus probable de l' « absence » dont il a été victime le 7 janvier 2020 au petit matin au volant de son véhicule, ce qui est de nature à poser un problème de sécurité publique, quelle que soit la cause de cet assoupissement. Or, l'intérêt public consiste en matière de circulation routière essentiellement dans la sécurité des usagers de la route et des piétons. Le recourant cumule par ailleurs de nombreux antécédents en matière de circulation routière. Depuis septembre 2006, il a fait l'objet de deux avertissements et de quatre mesures de retrait du permis de conduire, la plus récente datant du 14 août 2018 et dont l'exécution s'est terminée le 31 juillet 2019, soit cinq mois seulement avant les faits du mois de janvier 2020.</w:t>
      </w:r>
    </w:p>
    <w:p>
      <w:r>
        <w:t>Dans ces conditions, l'intérêt du recourant à prendre le volant d'un véhicule pour son usage privé doit céder le pas à l'intérêt public, le temps de déterminer son aptitude à la conduite.</w:t>
      </w:r>
    </w:p>
    <w:p>
      <w:r>
        <w:t>Partant, son recours sera rejeté. 4)</w:t>
      </w:r>
    </w:p>
    <w:p>
      <w:r>
        <w:t>Le recourant plaidant au bénéfice de l'assistance juridique, il sera renoncé à la perception d'un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