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ATA/702/2011 vom 15. November 2011</w:t>
      </w:r>
    </w:p>
    <w:p>
      <w:r>
        <w:t>GE Cour de justice, 2011-11-15, FR</w:t>
      </w:r>
    </w:p>
    <w:p>
      <w:r>
        <w:rPr>
          <w:b/>
        </w:rPr>
        <w:t xml:space="preserve">Quelle: </w:t>
      </w:r>
      <w:r>
        <w:t>https://mcp.opencaselaw.ch/entscheid/ge_gerichte_ATA_702_2011</w:t>
      </w:r>
    </w:p>
    <w:p>
      <w:r>
        <w:t>FR: GE_GERICHTE ATA/702/2011 du 15 novembre 2011</w:t>
      </w:r>
    </w:p>
    <w:p>
      <w:r>
        <w:t>IT: GE_GERICHTE ATA/702/2011 del 15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- 4/6 - A/2192/2008</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12), de la loi sur l’imposition des personnes physiques - Impôt sur le revenu (revenu imposable) du 22 septembre 2000 (aLIPP-IV - D 3 14), de la LIPP V et de la loi sur l’imposition dans le temps des personnes physiques du 31 août 2000 (aLITPP II D 3 12).</w:t>
      </w:r>
    </w:p>
    <w:p>
      <w:r>
        <w:rPr>
          <w:b/>
        </w:rPr>
        <w:t>E. 4</w:t>
      </w:r>
    </w:p>
    <w:p>
      <w:r>
        <w:t>a. En matière d’IFD, le revenu net se calcule en défalquant du total des revenus imposables, les déductions générales et les frais mentionnés aux art. 26 à 33a LIFD (art. 25 LIFD).</w:t>
      </w:r>
    </w:p>
    <w:p>
      <w:r>
        <w:t>b. Lorsque le contribuable exerce une activité en la forme indépendante, peuvent être déduits du bénéfice les frais professionnels de ceux justifiés par l’usage commercial (art. 27 al. 1 LIFD).</w:t>
      </w:r>
    </w:p>
    <w:p>
      <w:r>
        <w:t>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(ATA/169/2007 du 3 avril 2007).</w:t>
      </w:r>
    </w:p>
    <w:p>
      <w:r>
        <w:rPr>
          <w:b/>
        </w:rPr>
        <w:t>E. 5</w:t>
      </w:r>
    </w:p>
    <w:p>
      <w:r>
        <w:t>Conformément aux principes généraux, le fardeau de la preuve incombe au contribuable, dès lors que la déduction réduit son obligation fiscale (ATF 121 II 257 consid. 4c/aa p. 266 ; ATA/388/2010 du 8 juin 2010).</w:t>
      </w:r>
    </w:p>
    <w:p>
      <w:r>
        <w:t>En l’espèce, le recourant ne pouvait ignorer cette règle, pour se l’être faite rappeler par l’autorité de recours de première instance sur le même objet que la présente cause mais pour une autre année fiscale. Il lui incombait de faire le nécessaire pour rassembler d’entrée de cause tous les justificatifs propres à étayer ses allégations et démontrer l’existence de frais en relation avec son activité professionnelle. Or, il n’a rien produit devant l’AFC, ni devant la commission et</w:t>
      </w:r>
    </w:p>
    <w:p>
      <w:r>
        <w:t>- 5/6 - A/2192/2008 n’a fourni que difficilement à la chambre de céans quelques procès-verbaux pour un seul chantier suivi en 2005 et 2006 sans toutefois le moindre élément chiffré permettant de connaître le montant des frais qui seraient en relation avec ledit chantier. L’existence de frais professionnels n’est ainsi pas démontrée à satisfaction de droit.</w:t>
      </w:r>
    </w:p>
    <w:p>
      <w:r>
        <w:rPr>
          <w:b/>
        </w:rPr>
        <w:t>E. 6</w:t>
      </w:r>
    </w:p>
    <w:p>
      <w:r>
        <w:t>Au vu de ce qui précède, le recours sera rejeté.</w:t>
      </w:r>
    </w:p>
    <w:p>
      <w:r>
        <w:t>Vu l’issue du litige, un émolument de CHF 1'000.- sera mis à la charge du recourant.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