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ATA/701/2020 vom 4. August 2020</w:t>
      </w:r>
    </w:p>
    <w:p>
      <w:r>
        <w:t>GE Cour de justice, 2020-08-04, FR</w:t>
      </w:r>
    </w:p>
    <w:p>
      <w:r>
        <w:rPr>
          <w:b/>
        </w:rPr>
        <w:t xml:space="preserve">Quelle: </w:t>
      </w:r>
      <w:r>
        <w:t>https://mcp.opencaselaw.ch/entscheid/ge_gerichte_ATA_701_2020</w:t>
      </w:r>
    </w:p>
    <w:p>
      <w:r>
        <w:t>FR: GE_GERICHTE ATA/701/2020 du 4 août 2020</w:t>
      </w:r>
    </w:p>
    <w:p>
      <w:r>
        <w:t>IT: GE_GERICHTE ATA/701/2020 del 4 agosto 2020</w:t>
      </w:r>
    </w:p>
    <w:p>
      <w:pPr>
        <w:pStyle w:val="Heading2"/>
      </w:pPr>
      <w:r>
        <w:t>Erwägungen</w:t>
      </w:r>
    </w:p>
    <w:p>
      <w:r>
        <w:rPr>
          <w:b/>
        </w:rPr>
        <w:t>E. 6</w:t>
      </w:r>
    </w:p>
    <w:p>
      <w:r>
        <w:t>février 2018 consid. 2 ; ATA/432/2010 du 22 juin 2010 consid. 2).</w:t>
      </w:r>
    </w:p>
    <w:p>
      <w:r>
        <w:t>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ATA/122/2018 précité consid. 2 ; ATA/391/2011 du 21 juin 2011 consid. 4).</w:t>
      </w:r>
    </w:p>
    <w:p>
      <w:r>
        <w:t>b. La juridiction qui a statué peut rectifier, en tout temps, les fautes de rédaction et les erreurs de calcul (art.85 LPA). L'autorité concernée ne peut modifier une erreur de rédaction que pour autant que la substance de la décision n’en soit pas modifiée (ATA/1256/2015 du 24 novembre 2015 consid. 2a ; ATA/610/2012 du 11 septembre 2012 consid. 5 ; ATA/499/2011 du 27 juillet 2011 ; ATA/753/2010 du 2 février 2010).</w:t>
      </w:r>
    </w:p>
    <w:p>
      <w:r>
        <w:t>c. En l’espèce, dès lors que la demande tend à modifier la substance de l’arrêt du 19 mai 2020, puisqu’elle vise à modifier le sens du dispositif, seule entre en considération la demande en interprétation.</w:t>
      </w:r>
    </w:p>
    <w:p>
      <w:r>
        <w:t>À cet égard, les parties relèvent à bon droit que l’arrêt du 19 mai 2020 est équivoque à plusieurs titres. Il comporte, en effet, des contradictions entre ses considérants et le dispositif ainsi que dans son dispositif même. Il retient, en particulier, dans ses considérants que la résiliation ne se fondait pas sur des motifs fondés, de sorte que la réintégration devait être proposée à l’employeur tout en indiquant dans le dispositif que la résiliation était annulée, d’une part, et prononce en son dispositif l’annulation de la résiliation tout en proposant la réintégration du défendeur, d’autre part. Or, soit la résiliation était annulée et il n’y avait pas lieu à</w:t>
      </w:r>
    </w:p>
    <w:p>
      <w:r>
        <w:t>- 4/5 - A/1791/2020 réintégration, soit la résiliation ne se fondait pas sur un motif justifié et la réintégration devait être proposée.</w:t>
      </w:r>
    </w:p>
    <w:p>
      <w:r>
        <w:t>Au regard de ces contradictions existant tant entre les motifs de l’arrêt et le dispositif qu’au sein du dispositif même, la demande en interprétation sera admise. Dès lors qu’il ressort clairement des considérants que la résiliation ne reposait pas sur un motif justifié et qu’ainsi la réintégration était proposée, le dispositif de l’arrêt de la chambre administrative du 19 mai 2020 sera rectifié en ce sens qu’il sera constaté que la décision de résiliation du 19 décembre 2018 ne reposait pas sur un motif justifié, cette constatation remplaçant l’annulation de la décision de résiliation. 3)</w:t>
      </w:r>
    </w:p>
    <w:p>
      <w:r>
        <w:t>Vu l’issue de la demande, aucun émolument ne sera perçu (art. 87 al. 1 LPA) et aucune indemnité de procédure ne sera allouée, les parties n’y concluant au demeurant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