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ATA/6/2018 vom 9. Januar 2018</w:t>
      </w:r>
    </w:p>
    <w:p>
      <w:r>
        <w:t>GE Cour de justice, 2018-01-09, FR</w:t>
      </w:r>
    </w:p>
    <w:p>
      <w:r>
        <w:rPr>
          <w:b/>
        </w:rPr>
        <w:t xml:space="preserve">Quelle: </w:t>
      </w:r>
      <w:r>
        <w:t>https://mcp.opencaselaw.ch/entscheid/ge_gerichte_ATA_6_2018</w:t>
      </w:r>
    </w:p>
    <w:p>
      <w:r>
        <w:t>FR: GE_GERICHTE ATA/6/2018 du 9 janvier 2018</w:t>
      </w:r>
    </w:p>
    <w:p>
      <w:r>
        <w:t>IT: GE_GERICHTE ATA/6/2018 del 9 gennaio 2018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mai 2017 ; ATA/1041/2016 du 13 décembre 2016 confirmé par l’arrêt du Tribunal fédéral 2D_6/2017 du 22 août 2017). La remarque qui précède est particulièrement vraie pour les écritures postérieures à la décision refusant de restituer l’effet suspensif, les intérêts de l’appelée en cause pouvant être plus difficilement atteints dès la signature du contrat.</w:t>
      </w:r>
    </w:p>
    <w:p>
      <w:r>
        <w:t>- 6/7 -</w:t>
      </w:r>
    </w:p>
    <w:p>
      <w:r>
        <w:t>A/1299/2016</w:t>
      </w:r>
    </w:p>
    <w:p>
      <w:r>
        <w:t>Dans ces circonstances, et procédant à une appréciation globale se fondant sur les éléments mis en exergue ci-dessus, la chambre administrative allouera, en lieu et place de CHF 1'000.-, à Vision Color Sàrl une indemnité de procédure de CHF 3’000.-, soit un peu moins du tiers de la somme maximale pouvant être allouée. 4)</w:t>
      </w:r>
    </w:p>
    <w:p>
      <w:r>
        <w:t>Au vu de ce qui précède, la réclamation sera admise partiellement, dans la mesure indiquée ci-dessus.</w:t>
      </w:r>
    </w:p>
    <w:p>
      <w:r>
        <w:t>Conformément à la pratique constante de la juridiction de céans (ATA/1196/2017 du 22 août 2017 et les références citées), aucun émolument ne sera perçu dans la présente cause. De même, aucune indemnité de procédure ne sera allouée (art. 87 al. 1 et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