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ATA/69/2019 vom 22. Januar 2019</w:t>
      </w:r>
    </w:p>
    <w:p>
      <w:r>
        <w:t>GE Cour de justice, 2019-01-22, FR</w:t>
      </w:r>
    </w:p>
    <w:p>
      <w:r>
        <w:rPr>
          <w:b/>
        </w:rPr>
        <w:t xml:space="preserve">Quelle: </w:t>
      </w:r>
      <w:r>
        <w:t>https://mcp.opencaselaw.ch/entscheid/ge_gerichte_ATA_69_2019</w:t>
      </w:r>
    </w:p>
    <w:p>
      <w:r>
        <w:t>FR: GE_GERICHTE ATA/69/2019 du 22 janvier 2019</w:t>
      </w:r>
    </w:p>
    <w:p>
      <w:r>
        <w:t>IT: GE_GERICHTE ATA/69/2019 del 22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ayant été admise, il n’y a plus lieu de l’examiner dans la présente cause.</w:t>
      </w:r>
    </w:p>
    <w:p>
      <w:r>
        <w:rPr>
          <w:b/>
        </w:rPr>
        <w:t>E. 2</w:t>
      </w:r>
    </w:p>
    <w:p>
      <w:r>
        <w:t>Selon l’art. 87 al. 1 1ère phr. de la loi sur la procédure administrative du 12 septembre 1985 - LPA - E 5 10), la juridiction administrative qui rend la décision statue sur les frais de la procédure et émoluments.</w:t>
      </w:r>
    </w:p>
    <w:p>
      <w:r>
        <w:t>En l’espèce, il résulte de l’arrêt du Tribunal fédéral du 10 décembre 2018 que le recours de l’AFC-GE aurait dû être partiellement admis après constat de la prescription de la poursuite pénale pour la période fiscale 2003. Dès lors,</w:t>
      </w:r>
    </w:p>
    <w:p>
      <w:r>
        <w:t>- 3/4 - A/2204/2015 l’émolument mis à la charge de la société sera ramené à CHF 850.-. En outre, une indemnité de procédure réduite de CHF 300.- lui sera allouée, à la charge de l’État de Genève (art. 87 al. 2 LPA).</w:t>
      </w:r>
    </w:p>
    <w:p>
      <w:r>
        <w:rPr>
          <w:b/>
        </w:rPr>
        <w:t>E. 3</w:t>
      </w:r>
    </w:p>
    <w:p>
      <w:r>
        <w:t>Il ne sera pas perçu d’émolument ni alloué d’indemnité de procédure pour le présent arrêt (ATA/546/2017 et la jurisprudence citée).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