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ATA/696/2023 vom 27. Juni 2023</w:t>
      </w:r>
    </w:p>
    <w:p>
      <w:r>
        <w:t>GE Cour de justice, 2023-06-27, FR</w:t>
      </w:r>
    </w:p>
    <w:p>
      <w:r>
        <w:rPr>
          <w:b/>
        </w:rPr>
        <w:t xml:space="preserve">Quelle: </w:t>
      </w:r>
      <w:r>
        <w:t>https://mcp.opencaselaw.ch/entscheid/ge_gerichte_ATA_696_2023</w:t>
      </w:r>
    </w:p>
    <w:p>
      <w:r>
        <w:t>FR: GE_GERICHTE ATA/696/2023 du 27 juin 2023</w:t>
      </w:r>
    </w:p>
    <w:p>
      <w:r>
        <w:t>IT: GE_GERICHTE ATA/696/2023 del 27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Est sollicitée l'audition du recourant, demande déjà présentée devant le TAPI qui n'y a pas donné suite. 2.1 Tel qu'il est garanti par l'art. 29 al. 2 de la Constitution fédérale de la Confédération suisse du 18 avril 1999 (Cst. - RS 101), le droit d'être entendu comprend notamment le droit pour l'intéressé d'offrir des preuves pertinentes et d'obtenir qu'il y soit donné suite (ATF 146 IV 218 consid. 2.3 ;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(ATF138 III 374 consid. 4.3.2 ; 131 I 153 consid. 3). En outre, il n'implique pas le droit à une audition orale (ATF 140 I 285 consid. 6.3.1). 2.2 En l’espèce, les recourants ont eu l'occasion d'exposer leurs arguments et de produire des pièces, tant devant le TAPI que devant la chambre de céans. Ils n’expliquent pas en quoi l'audition sollicitée serait de nature à apporter des</w:t>
      </w:r>
    </w:p>
    <w:p>
      <w:r>
        <w:t>- 8/16 - A/263/2022 éléments supplémentaires utiles à l'issue du litige, étant précisé à cet égard que le fort lien affectif entre le recourant et sa fille n'est pas contesté et que les circonstances du dépôt de la demande de regroupement familial sont établies, seule l'interprétation qu'il convient de donner au comportement des uns et des autres étant disputée. Pour le surplus, le dossier apparaît complet et permet à la chambre de céans de statuer en connaissance de cause. Il n’y a donc pas lieu de procéder à l’audition du recourant. 3. Les recourants font valoir que le TAPI n'aurait pas dû considérer la violation du droit d'être entendu qu'il a constatée comme réparée. 3.1 Le droit d’être entendu est une garantie de nature formelle dont la violation entraîne, lorsque sa réparation par l'autorité de recours n'est pas possible, l'annulation de la décision attaquée sans égard aux chances de succès du recours sur le fond (ATF 142 II 218 consid. 2.8.1). Ce moyen doit par conséquent être examiné en premier lieu (ATF 141 V 495 consid. 2.2). Sa portée est déterminée d'abord par le droit cantonal (art. 41 ss LPA) et le droit administratif spécial (ATF 126 I 15 consid. 2 ; 125 I 257 consid. 3a et les références citées). Si la protection prévue par ces lois est insuffisante, ce sont les règles minimales déduites de la Constitution qui s’appliquent (art. 29 al. 2 Cst. ; arrêt du Tribunal fédéral 4A_15/2010 du 15 mars 2010 consid. 3.1). 3.2 Une décision entreprise pour violation du droit d’être entendu n’est pas nulle mais annulable (ATF 143 IV 380 consid. 1.4.1). En effet, selon un principe général, la nullité d'un acte commis en violation de la loi doit résulter ou bien d'une disposition légale expresse, ou bien du sens et du but de la norme en question (ATF 122 I 97 consid. 3a ; 119 II 147 consid. 4a et les références citées). En d'autres termes, il n'y a lieu d'admettre la nullité, hormis les cas expressément prévus par la loi, qu'à titre exceptionnel, lorsque les circonstances sont telles que le système d'annulabilité n'offre manifestement pas la protection nécessaire (ATF 138 III 49 consid. 4.4.3 ; 137 I 273 consid. 3.1 ; arrêt du Tribunal fédéral 1C_160/2017 du 3 octobre 2017 consid. 5.1 ; ATA/547/2021 du 9 juillet 2021 consid. 6a et les références citées).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w:t>
      </w:r>
    </w:p>
    <w:p>
      <w:r>
        <w:rPr>
          <w:b/>
        </w:rPr>
        <w:t>E. 6</w:t>
      </w:r>
    </w:p>
    <w:p>
      <w:r>
        <w:t>Vu l’issue du litige, un émolument de CHF 400.- sera mis à la charge solidaire des recourants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