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ATA/696/2015 vom 30. Juni 2015</w:t>
      </w:r>
    </w:p>
    <w:p>
      <w:r>
        <w:t>GE Cour de justice, 2015-06-30, FR</w:t>
      </w:r>
    </w:p>
    <w:p>
      <w:r>
        <w:rPr>
          <w:b/>
        </w:rPr>
        <w:t xml:space="preserve">Quelle: </w:t>
      </w:r>
      <w:r>
        <w:t>https://mcp.opencaselaw.ch/entscheid/ge_gerichte_ATA_696_2015</w:t>
      </w:r>
    </w:p>
    <w:p>
      <w:r>
        <w:t>FR: GE_GERICHTE ATA/696/2015 du 30 juin 2015</w:t>
      </w:r>
    </w:p>
    <w:p>
      <w:r>
        <w:t>IT: GE_GERICHTE ATA/696/2015 del 30 giugno 2015</w:t>
      </w:r>
    </w:p>
    <w:p>
      <w:pPr>
        <w:pStyle w:val="Heading2"/>
      </w:pPr>
      <w:r>
        <w:t>Erwägungen</w:t>
      </w:r>
    </w:p>
    <w:p>
      <w:r>
        <w:rPr>
          <w:b/>
        </w:rPr>
        <w:t>E. 23</w:t>
      </w:r>
    </w:p>
    <w:p>
      <w:r>
        <w:t>mars 2005 consid. 3.5, Alain BAUER/Philippe BAUER, in Michel VALTICOS/Christian REISER/Benoît CHAPPUIS [éd.], op. cit, n° 20 ad art. 17 LLCA p. 226).</w:t>
      </w:r>
    </w:p>
    <w:p>
      <w:r>
        <w:t>c. Selon l’art. 14 LPAv,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(ATA/395/2015 du 28 avril 2015 ; ATA/174/2013 du 19 mars 2013 ; ATA/127/2011 du 1er mars 2011 ; ATA/6/2009 du 13 janvier 2009 ; ATA/570/2003 du 23 juillet 2003).</w:t>
      </w:r>
    </w:p>
    <w:p>
      <w:r>
        <w:t>d. L’interdiction temporaire de pratiquer est une sanction disciplinaire destinée à sanctionner les manquements professionnels graves ou répétés qui se révèlent inconciliables, du moins temporairement, avec l’exercice de la profession d’avocat (Alain BAUER/Philippe BAUER, in Michel VALTICOS/Christian REISER/Benoît CHAPPUIS [éd.], op. cit., 2010, n. 58 à 62 ad art. 17 LLCA). Elle a effet sur tout le territoire suisse (art. 18 al. 1 LLCA) et empêche l’avocat de continuer à pratiquer la représentation en justice dans le cadre du monopole cantonal au sens de l’art. 2 al. 1 LLCA. La durée de cette mesure doit être modulée selon la gravité de la faute (arrêt du Tribunal fédéral 2A_499/2006 du 11 juin 2006). 9)</w:t>
      </w:r>
    </w:p>
    <w:p>
      <w:r>
        <w:t>En l’occurrence, l’atteinte à l’intérêt public est objectivement grave dès lors que l’on doit attendre d’un avocat qui représente des clients sinistrés vis-à-vis d’assureurs et qui perçoit des fonds revenant à ceux-là, non seulement qu’il fasse preuve de diligence pour mettre ces fonds à la disposition de ses clients qui en ont besoin, mais encore qu’il prenne toutes dispositions pour assurer leur disponibilité. Or, le recourant, a tardé à le faire et s’est retrouvé dans</w:t>
      </w:r>
    </w:p>
    <w:p>
      <w:r>
        <w:t>- 13/14 - A/1510/2015 l’impossibilité d’y procéder lorsqu’il a été mis en demeure de s’exécuter. La raison en revient non seulement au désordre qui semble avoir régné dans la comptabilité générale de son étude et à la confusion qu’il a entretenue entre ses avoirs propres et ceux qu’il détenait pour le compte de clients, mais aussi à la légèreté avec laquelle il a effectué des paiements privés à l’aide de ces fonds sans s’assurer qu’il s’agissait de ses propres deniers. Ce faisant, le recourant n’a manifestement pas respecté ses obligations découlant de l’art. 12 let a et h LLCA. Pour les faits précités, non seulement sa faute est grave, mais elle est encore aggravée par sa tentative d’éviter le remboursement de ceux-ci par l’établissement, en 2014, d’une facture finale de CHF 58'864,35 à l’adresse du client n° 1, d’un montant exagéré vu le tarif horaire pratiqué, que l’assurance de protection juridique de ce dernier n’a finalement accepté de payer qu’à concurrence de CHF 14'915.60.</w:t>
      </w:r>
    </w:p>
    <w:p>
      <w:r>
        <w:t>Compte tenu de ces circonstances et de l’absence d’antécédents récents du recourant, la sanction prononcée par la commission pour les violations à la LLCA précitées est adéquate et proportionnée. Elle ne peut donc qu’être confirmée. 10) Le recours sera rejeté. Vu son issue, un émolument de CHF 1'000.- sera mis à la charge du recourant (art. 87 al. 1 LPA). Aucune indemnité de procédure ne sera allouée. 11) En vertu de l’art. 18 al. 2 LLCA, le dispositif du présent arrêt est communiqué aux autorités de surveillance des autres cantons (SJ 2015 I 226).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