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ATA/696/2012 vom 16. Oktober 2012</w:t>
      </w:r>
    </w:p>
    <w:p>
      <w:r>
        <w:t>GE Cour de justice, 2012-10-16, FR</w:t>
      </w:r>
    </w:p>
    <w:p>
      <w:r>
        <w:rPr>
          <w:b/>
        </w:rPr>
        <w:t xml:space="preserve">Quelle: </w:t>
      </w:r>
      <w:r>
        <w:t>https://mcp.opencaselaw.ch/entscheid/ge_gerichte_ATA_696_2012</w:t>
      </w:r>
    </w:p>
    <w:p>
      <w:r>
        <w:t>FR: GE_GERICHTE ATA/696/2012 du 16 octobre 2012</w:t>
      </w:r>
    </w:p>
    <w:p>
      <w:r>
        <w:t>IT: GE_GERICHTE ATA/696/2012 del 16 ottobre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 ; art. 53ss de la loi de procédure fiscale du 4 octobre 2001 - LPFisc ; RS D 3 17).</w:t>
      </w:r>
    </w:p>
    <w:p>
      <w:r>
        <w:rPr>
          <w:b/>
        </w:rPr>
        <w:t>E. 2</w:t>
      </w:r>
    </w:p>
    <w:p>
      <w:r>
        <w:t>Conformément à son art. 71, la loi cantonale genevoise sur l'imposition des personnes physiques du 27 septembre 2009 (LIPP - D 3 08) est entrée en vigueur le 1er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 Dès lors que le présent litige concerne la période fiscale 2005, l'ancien droit lui est applicable, soit la loi sur l'imposition</w:t>
      </w:r>
    </w:p>
    <w:p>
      <w:r>
        <w:t>- 6/8 - A/807/2007 des personnes physiques Détermination du revenu net – Calcul de l'impôt et rabais d'impôt – Compensation des effets de la progression à froid, du 22 septembre 2000 (LIPP-V).</w:t>
      </w:r>
    </w:p>
    <w:p>
      <w:r>
        <w:rPr>
          <w:b/>
        </w:rPr>
        <w:t>E. 3</w:t>
      </w:r>
    </w:p>
    <w:p>
      <w:r>
        <w:t>Selon l'art. 17 aLIPP-V, lorsque le revenu comprend des versements de capitaux remplaçant des prestations périodiques ou des versements en capital à la fin des rapports de service, l'impôt se calcule, compte tenu des autres revenus et des déductions autorisées, au taux qui serait applicable si une prestation annuelle était servie en lieu et place de l'indemnité unique.</w:t>
      </w:r>
    </w:p>
    <w:p>
      <w:r>
        <w:t>Selon l'art. 11 al. 2 de la loi fédérale sur l’harmonisation des impôts directs des cantons et des communes du 14 décembre 1990 (LHID - RS 642.14), lorsque le revenu comprend des versements de capitaux remplaçant des prestations périodiques, le calcul de l'impôt est effectué compte tenu des autres revenus, au taux qui serait applicable si une prestation annuelle correspondante était versée en lieu et place de la prestation unique.</w:t>
      </w:r>
    </w:p>
    <w:p>
      <w:r>
        <w:t>L'art. 17 aLIPP-V, dont le contenu est similaire à celui de l'art. 37 LIFD, prévoit que lorsque le revenu comprend des versements de capitaux remplaçant des prestations périodiques ou des versements en capital à la fin des rapports de service, l'impôt se calcule, compte tenu des autres revenus et des déductions autorisées, au taux qui serait applicable si une prestation annuelle était servie en lieu et place de l'indemnité unique.</w:t>
      </w:r>
    </w:p>
    <w:p>
      <w:r>
        <w:t>L'art. 18 al. 1 aLIPP, d'une teneur identique à l'art 38 LIFD, précise que les prestations en capital provenant des institutions de prévoyance ainsi que les sommes versées ensuite de décès, de dommages corporels permanents ou d'atteinte durable à la santé sont imposées séparément. Elles sont dans tous les cas soumises à un impôt annuel entier.</w:t>
      </w:r>
    </w:p>
    <w:p>
      <w:r>
        <w:t>Compte tenu de la similitude des textes fédéraux et cantonaux, le TAPI a adopté à juste titre dans la présente espèce la solution développée par le Tribunal fédéral pour le litige relatif à l'IFD 2005, respectant ainsi le principe de l'harmonisation verticale des impôts directs de la Confédération et des cantons (cf. ATF 130 II 65 consid. 6.2 et 6.3 p. 77 s.; Arrêt du Tribunal fédéral 2P.204/2006 du 21 mai 2007 consid. 6 et les références). Les griefs du recourant seront donc écartés.</w:t>
      </w:r>
    </w:p>
    <w:p>
      <w:r>
        <w:rPr>
          <w:b/>
        </w:rPr>
        <w:t>E. 4</w:t>
      </w:r>
    </w:p>
    <w:p>
      <w:r>
        <w:t>Enfin, il n’est plus contesté que l’AFC-GE avait retenu deux fois le montant des intérêts moratoires de CHF 5'286.- pour la période du 1er janvier au 31 juillet 2005. Le jugement sera confirmé également sur ce point.</w:t>
      </w:r>
    </w:p>
    <w:p>
      <w:r>
        <w:rPr>
          <w:b/>
        </w:rPr>
        <w:t>E. 5</w:t>
      </w:r>
    </w:p>
    <w:p>
      <w:r>
        <w:t>Au vu de ce qui précède, le recours sera rejeté. Un émolument de CHF 1'000.- sera mis à la charge du recourant et aucune indemnité de lui sera allouée (art. 87 LPA).</w:t>
      </w:r>
    </w:p>
    <w:p>
      <w:r>
        <w:t>- 7/8 - A/807/2007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