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ATA/694/2009 vom 22. Dezember 2009</w:t>
      </w:r>
    </w:p>
    <w:p>
      <w:r>
        <w:t>GE Cour de justice, 2009-12-22, FR</w:t>
      </w:r>
    </w:p>
    <w:p>
      <w:r>
        <w:rPr>
          <w:b/>
        </w:rPr>
        <w:t xml:space="preserve">Quelle: </w:t>
      </w:r>
      <w:r>
        <w:t>https://mcp.opencaselaw.ch/entscheid/ge_gerichte_ATA_694_2009</w:t>
      </w:r>
    </w:p>
    <w:p>
      <w:r>
        <w:t>FR: GE_GERICHTE ATA/694/2009 du 22 décembre 2009</w:t>
      </w:r>
    </w:p>
    <w:p>
      <w:r>
        <w:t>IT: GE_GERICHTE ATA/694/2009 del 22 dicembre 2009</w:t>
      </w:r>
    </w:p>
    <w:p>
      <w:pPr>
        <w:pStyle w:val="Heading2"/>
      </w:pPr>
      <w:r>
        <w:t>Erwägungen</w:t>
      </w:r>
    </w:p>
    <w:p>
      <w:r>
        <w:rPr>
          <w:b/>
        </w:rPr>
        <w:t>E. 1</w:t>
      </w:r>
    </w:p>
    <w:p>
      <w:r>
        <w:t>M. H______ a adressé deux actes de recours en mains du Tribunal administratif. Le premier avait été déposé à un office de poste le 10 décembre 2009, et reçu par le Tribunal, le 14 du même mois. Le deuxième, corrigeant les fautes de frappe du premier, a été remis au greffe du Tribunal administratif le 11 décembre 2009 et a entraîné l'ouverture de la procédure. Pour déterminer si le délai a été respecté, il y a lieu de tenir compte de la remise à la poste, et non de celui déposé au greffe.</w:t>
      </w:r>
    </w:p>
    <w:p>
      <w:r>
        <w:t>Interjeté le 10 décembre 2009 auprès du Tribunal administratif, le recours de M. H______, dirigé contre la décision prise le 30 novembre 2009 par la CCRA, communiquée le même jour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w:t>
      </w:r>
    </w:p>
    <w:p>
      <w:r>
        <w:rPr>
          <w:b/>
        </w:rPr>
        <w:t>E. 2</w:t>
      </w:r>
    </w:p>
    <w:p>
      <w:r>
        <w:t>A teneur de l'art. 9 LPA, les parties peuvent se faire représenter notamment par un avocat ou par un autre mandataire professionnellement qualifié pour la cause dont il s'agit (al. 1er). La représentation par une personne qui n'est pas un avocat doit être examinée de cas en cas, au regard de ladite cause, selon la jurisprudence du Tribunal fédéral et de la juridiction de céans (ATF n.p. G. du 3 mars 1999, cause A/686/1998 résumé in SJ 1999 II 301 No 119 ; ATA K. du 19 février 1997, cause A/107/1997 consid. 2).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77 - 78; SJ 1988 416 consid. 2 421; ATA L.B. du 28 août 1996).</w:t>
      </w:r>
    </w:p>
    <w:p>
      <w:r>
        <w:t>Le but de l'art. 9 LPA s'oppose ainsi à l'admission, comme mandataire professionnellement qualifié, de tout conseiller juridique indépendant.</w:t>
      </w:r>
    </w:p>
    <w:p>
      <w:r>
        <w:t>A cet égard,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 dans le cadre de la protection de leurs assurés ou</w:t>
      </w:r>
    </w:p>
    <w:p>
      <w:r>
        <w:t>- 8/12 - A/4258/2009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w:t>
      </w:r>
    </w:p>
    <w:p>
      <w:r>
        <w:t>En l'espèce, M. R______, titulaire d'un brevet d'avocat sans être inscrit au barreau, ne peut être considéré comme étant un mandataire professionnellement qualifié pour la cause dont il s'agit ; il n’est de ce fait pas apte à représenter le recourant devant les autorités administratives.</w:t>
      </w:r>
    </w:p>
    <w:p>
      <w:r>
        <w:t>Toutefois, au vu de ce qui va suivre, et de la célérité voulue par le législateur en matière de détention administrative, le tribunal de céans ne déclarera pas le recours irrecevable, pour ne pas tomber dans un formalisme excessif (ATF 125 I 166).</w:t>
      </w:r>
    </w:p>
    <w:p>
      <w:r>
        <w:rPr>
          <w:b/>
        </w:rPr>
        <w:t>E. 3</w:t>
      </w:r>
    </w:p>
    <w:p>
      <w:r>
        <w:t>Selon l’art. 10 al. 2 LaLEtr, le Tribunal administratif statue dans les dix jours qui suivent sa saisine. Ayant reçu le recours le 11 décembre 2009 et statuant ce jour, il respecte ce délai.</w:t>
      </w:r>
    </w:p>
    <w:p>
      <w:r>
        <w:rPr>
          <w:b/>
        </w:rPr>
        <w:t>E. 4</w:t>
      </w:r>
    </w:p>
    <w:p>
      <w:r>
        <w:t>Le Tribunal administratif est compétent pour apprécier l’opportunité des décisions portées devant lui (art. 10. al. 2 LaLEtr). Il peut confirmer, réformer ou annuler la décision attaquée ; cas échéant, il ordonne la mise en liberté de l’étranger (art.10 al. 3 LaLEtr).</w:t>
      </w:r>
    </w:p>
    <w:p>
      <w:r>
        <w:rPr>
          <w:b/>
        </w:rPr>
        <w:t>E. 5</w:t>
      </w:r>
    </w:p>
    <w:p>
      <w:r>
        <w:t>Le recourant conclut préalablement à ce qu'un délai lui soit octroyé pour compléter son recours.</w:t>
      </w:r>
    </w:p>
    <w:p>
      <w:r>
        <w:t>Selon l'art. 65 al. 3 LPA, la juridiction saisie peut autoriser le recourant, sur demande motivée, à compléter son acte de recours et lui impartir à cet effet un délai supplémentaire convenable.</w:t>
      </w:r>
    </w:p>
    <w:p>
      <w:r>
        <w:t>En l'espèce, le recours déposé apparaît complet, et le recourant ne donne aucune indication au sujet des motifs qui justifieraient l'octroi d'un délai pour le compléter. Cette requête sera dès lors rejetée.</w:t>
      </w:r>
    </w:p>
    <w:p>
      <w:r>
        <w:rPr>
          <w:b/>
        </w:rPr>
        <w:t>E. 6</w:t>
      </w:r>
    </w:p>
    <w:p>
      <w:r>
        <w:t>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2C.573/2007 du 23 janvier 2008 consid. 2.3 et les arrêts cités ; ATA/417/2008 du 26 août 2008 consid. 6a et les références citées). Cela n’implique pas une audition</w:t>
      </w:r>
    </w:p>
    <w:p>
      <w:r>
        <w:t>- 9/12 - A/4258/2009 personnelle de l’intéressé, celui-ci devant simplement disposer d’une occasion de se déterminer sur les éléments propres à influer sur l’issue de la cause (art. 41 LPA ; ATF 134 I 140 consid. 5.3 p. 148 ; Arrêt du Tribunal fédéral 2C.212/2008 du 3 septembre 2008 consid. 3.2 et les arrêts cités ; ATA/489/2008 du 23 septembre 2008, consid. 9).</w:t>
      </w:r>
    </w:p>
    <w:p>
      <w:r>
        <w:t>En l'espèce, le recourant a été entendu par la commission. Dans ces conditions, une audition par le Tribunal administratif n'est pas apte à apporter des éléments nouveaux, et cette requête sera aussi rejetée.</w:t>
      </w:r>
    </w:p>
    <w:p>
      <w:r>
        <w:rPr>
          <w:b/>
        </w:rPr>
        <w:t>E. 7</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Ces deux alinéas de l’art. 76 al. 1 let. b LEtr décrivent tous deux des comportements permettant de conclure à l’existence d’un risque de fuite ou de disparition. Ils doivent donc être envisagés ensemble (Arrêt du Tribunal fédéral 2C.128/2009 du 30 mars 2009, consid. 3.1).</w:t>
      </w:r>
    </w:p>
    <w:p>
      <w:r>
        <w:t>En l'espèce, les conditions d'une mise en détention administrative sont remplies.</w:t>
      </w:r>
    </w:p>
    <w:p>
      <w:r>
        <w:rPr>
          <w:b/>
        </w:rPr>
        <w:t>E. 8</w:t>
      </w:r>
    </w:p>
    <w:p>
      <w:r>
        <w:t>Le Tribunal fédéral a indiqué que le juge de la détention est lié par la décision de renvoi, en particulier lorsqu'elle a été rendue dans le cadre d'une procédure d'asile. Il peut tenir compte des faits nouveaux, postérieurs à la décision de renvoi, mais il appartient en priorité à l'autorité compétente de décider si le renvoi est exigible, le juge de la détention ne pouvant intervenir que si le caractère inexécutable de la décision de renvoi est patent (Arrêt du Tribunal fédéral 2C_445/2007 du 30 octobre 2007 et les références citées).</w:t>
      </w:r>
    </w:p>
    <w:p>
      <w:r>
        <w:t>a. Aux termes de l’art. 80 al. 6 let. a LEtr, la détention doit être levée lorsque le motif de la détention n’existe plus ou l’exécution du renvoi ou de l’expulsion s’avère impossible pour des raisons juridiques ou matérielles.</w:t>
      </w:r>
    </w:p>
    <w:p>
      <w:r>
        <w:t>Cette disposition légale reprenant les termes de l’art. 13c al. 5 let. a de la loi fédérale sur le séjour et l’établissement des étrangers du 26 mars 1931 (LSEE - RS 142.20), la jurisprudence développée sous l’empire de cette loi demeure d’actualité (ATA/469/2009 du 23 septembre 2009).</w:t>
      </w:r>
    </w:p>
    <w:p>
      <w:r>
        <w:t>b. Selon la jurisprudence, cette disposition vise aussi les personnes pour lesquelles un retour reviendrait à les mettre concrètement en danger, notamment parce qu’elles ne pourraient plus recevoir les soins dont elles ont besoin</w:t>
      </w:r>
    </w:p>
    <w:p>
      <w:r>
        <w:t>- 10/12 - A/4258/2009 (ATA/334/2009 du 2 juillet 2009; JAAC 67 [2003] n° 63). L’exigibilité du renvoi peut, à titre exceptionnel, être niée en raison de l’état physique ou psychique du recourant (Ph. GRANT, Les mesures de contrainte en droit des étrangers, mise à jour et rapport complémentaire de l’organisation suisse d’aide aux réfugiés, Berne, 7 septembre 2001, p. 23). La doctrine se réfère à cet égard à un arrêt de la Cour Européenne des droits de l’homme dans lequel cette dernière a rappelé que les Etats contractants, lorsqu’ils exercent leur droit à expulser des étrangers, doivent tenir compte de l’art. 3 de la Convention de sauvegarde des droits de l’homme et des libertés fondamentales du 4 novembre 1950 (CEDH - RS 0.101) qui consacre l’une des valeurs fondamentales d’une société démocratique (ACEDH D. c. Grande-Bretagne du 2 mai 1997, no 30240/96, publié au recueil 1997-III). S’appuyant sur cette décision, le Tribunal fédéral a jugé qu’un mauvais état de santé pouvait, dans des cas extraordinaires, conduire à renoncer à l’exécution du renvoi (Arrêt du Tribunal fédéral 2A.313/1997 du 29 août 1997 ; ATA/14/2006 du 12 janvier 2006).</w:t>
      </w:r>
    </w:p>
    <w:p>
      <w:r>
        <w:t>c. En matière d'asile, l’exécution du renvoi des personnes en traitement médical en Suisse ne devient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 ATAF D- 5039/2006 du 1er juin 2007). En revanche, une décision d’exécution du renvoi ne devient pas inexigible au simple motif que l’infrastructure hospitalière et le savoir-faire médical prévalant en Suisse correspondent à un standard élevé non accessible dans le pays d’origine ou le pays tiers de résidence de la personne concernée (JICRA 1993 n° 38 p. 274 ss ; ATAF E-6427/2006 du 3 avril 2008). 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du 15 décembre 2005).</w:t>
      </w:r>
    </w:p>
    <w:p>
      <w:r>
        <w:t>En l’espèce, le recourant se prévaut de problèmes de santé, soit d'un état dépressif d'intensité moyenne et de syndrome somatoforme douloureux chronique pour obtenir son élargissement.</w:t>
      </w:r>
    </w:p>
    <w:p>
      <w:r>
        <w:t>Si la réalité de ces pathologies ne peut être mise en doute, il sied de relever qu'elles sont malheureusement communes, et que les traitements proposés ne</w:t>
      </w:r>
    </w:p>
    <w:p>
      <w:r>
        <w:t>- 11/12 - A/4258/2009 nécessitent pas une haute technicité. Malgré les lacunes du système de santé du Kosovo (voir « Etat des soins médicaux au Kosovo - mise à jour », OSAR, Berne 2007, en ligne [consulté le 18 décembre 2009]: http://www.fluechtlingshilfe.ch/pays-d-origine/europe/kosovo/kosovo-etat-des- soins-de-sante/at_download/file), l'impossibilité du renvoi pour ces motifs n'est pas patente, et ne peut être prise en compte par le Tribunal administratif, en sa qualité de juge de la détention.</w:t>
      </w:r>
    </w:p>
    <w:p>
      <w:r>
        <w:rPr>
          <w:b/>
        </w:rPr>
        <w:t>E. 9</w:t>
      </w:r>
    </w:p>
    <w:p>
      <w:r>
        <w:t>Au vu de ce qui précède, le recours sera rejeté. Vu la nature du litige aucun émolument ne sera perçu (art. 11 al. 1 du règlement sur les frais, émoluments et indemnités en procédure administrative du 30 juillet 1986 -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