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ATA/694/2003 vom 23. September 2003</w:t>
      </w:r>
    </w:p>
    <w:p>
      <w:r>
        <w:t>GE Cour de justice, 2003-09-23, FR</w:t>
      </w:r>
    </w:p>
    <w:p>
      <w:r>
        <w:rPr>
          <w:b/>
        </w:rPr>
        <w:t xml:space="preserve">Quelle: </w:t>
      </w:r>
      <w:r>
        <w:t>https://mcp.opencaselaw.ch/entscheid/ge_gerichte_ATA_694_2003</w:t>
      </w:r>
    </w:p>
    <w:p>
      <w:r>
        <w:t>FR: GE_GERICHTE ATA/694/2003 du 23 septembre 2003</w:t>
      </w:r>
    </w:p>
    <w:p>
      <w:r>
        <w:t>IT: GE_GERICHTE ATA/694/2003 del 23 settembre 2003</w:t>
      </w:r>
    </w:p>
    <w:p>
      <w:pPr>
        <w:pStyle w:val="Heading2"/>
      </w:pPr>
      <w:r>
        <w:t>Regeste</w:t>
      </w:r>
    </w:p>
    <w:p>
      <w:r>
        <w:t>Résumé: Rappel de la nature des intérêts visés à l'art. 61A LDS. Il s'agit d'intérêts de bonification qui ne dépendent pas de l'entrée en force de la taxation et donc d'une éventuelle demeure du contribuable. Afin de diminuer le montant des intérêts, l'hoirie pouvait soit verser des accomptes, soit d'ores et déjà régler le montant non contesté des droits de succession.</w:t>
      </w:r>
    </w:p>
    <w:p>
      <w:pPr>
        <w:pStyle w:val="Heading2"/>
      </w:pPr>
      <w:r>
        <w:t>Erwägungen</w:t>
      </w:r>
    </w:p>
    <w:p>
      <w:r>
        <w:rPr>
          <w:b/>
        </w:rPr>
        <w:t>E. 25</w:t>
      </w:r>
    </w:p>
    <w:p>
      <w:r>
        <w:t>Le 28 avril 2003, les parties ont été informées</w:t>
      </w:r>
    </w:p>
    <w:p>
      <w:r>
        <w:t>- 8 -</w:t>
      </w:r>
    </w:p>
    <w:p>
      <w:r>
        <w:t>que la cause était gardée à juger.</w:t>
      </w:r>
    </w:p>
    <w:p>
      <w:r>
        <w:t>EN DROIT</w:t>
      </w:r>
    </w:p>
    <w:p>
      <w:r>
        <w:t>1. Interjeté en temps utile devant la juridiction compétente, le recours est recevable (art. 56A de la loi sur l'organisation judiciaire du 22 novembre 1941 - LOJ - E 2 05; art. 63 al. 1 litt. a de la loi sur la procédure administrative du 12 septembre 1985 - LPA - E 5 10).</w:t>
      </w:r>
    </w:p>
    <w:p>
      <w:r>
        <w:t>2. En l'espèce, l'hoirie conteste devoir acquitter les intérêts dus, selon bordereau rectificatif du 11 mars 2001. Elle fait par ailleurs grief à l'AFC d'avoir violé l'article 29 alinéa 1er Cst, en prolongeant inutilement la procédure de taxation de la succession.</w:t>
      </w:r>
    </w:p>
    <w:p>
      <w:r>
        <w:t>3. a. A teneur de l'article 61A LDS, le montant des droits (y compris les centimes additionnels) porte intérêt au taux légal dès l'expiration des délais prescrits à l'article 60 alinéa 1 LDS, soit quatre mois, dès la date du décès, pour les successions ouvertes dans le canton de Genève (art. 60 al. 1 let. a LDS)</w:t>
      </w:r>
    </w:p>
    <w:p>
      <w:r>
        <w:t>b. L'intérêt se calcule sur tous les montants impayés à l'expiration de ces délais, pour quelque raison que ce soit, dans la mesure où ils sont finalement dus (art. 61A al. 2 LDS).</w:t>
      </w:r>
    </w:p>
    <w:p>
      <w:r>
        <w:t>c. Le Tribunal administratif a déjà eu l'occasion de se prononcer sur la nature des intérêts visés à l'article 61A LDS (ATA B. du 5 décembre 1990; S. d'E. du 4 novembre 1981 et les références citées). Il s'agit d'intérêts de bonification qui ne dépendent pas de l'entrée en force de la taxation et donc d'une éventuelle demeure du contribuable. En procédant à l'examen des travaux préparatoires ainsi qu'à celui des dispositions légales en vigueur avant l'introduction de la LDS, le tribunal de céans est arrivé à la conclusion que l'intention du législateur avait toujours été de faire courir les intérêts dès l'expiration du délai fixé par la loi pour le paiement des droits de succession, soit un délai courant à partir d'un terme fixe.</w:t>
      </w:r>
    </w:p>
    <w:p>
      <w:r>
        <w:t>Dans son arrêt S. d'E. précité, le Tribunal administratif a souligné que ce type d'intérêt avait pour but d'assurer un traitement uniforme de l'ensemble des contribuables assujettis au même genre d'impôt. Celui</w:t>
      </w:r>
    </w:p>
    <w:p>
      <w:r>
        <w:t>- 9 -</w:t>
      </w:r>
    </w:p>
    <w:p>
      <w:r>
        <w:t>qui, pour des raisons techniques, fait l'objet d'une taxation individuelle après l'expiration du terme est favorisé par rapport aux autres en ce sens qu'il reste plus longtemps en jouissance des intérêts produits par le montant de l'impôt dû. Le tribunal relevait encore dans cet arrêt que la LDS n'opère aucune distinction entre le contribuable qui n'a pas remis sa déclaration de succession dans le délai fixé à l'article 32 alinéa 1 LDS et celui qui a satisfait à cette obligation. Dans les deux cas, le montant des droits porte intérêt à 4% l'an s'il a été acquitté plus de 4 mois après la date du décès. Enfin, l'introduction d'une réclamation ou d'un recours ne suspend pas le cours des intérêts (RDAF 2000 II 283).</w:t>
      </w:r>
    </w:p>
    <w:p>
      <w:r>
        <w:t>4. Il ressort des considérants qui précèdent que, dans la présente espèce, des intérêts de bonification au sens de l'article 61A LDS ont commencé à courir à compter du 1er jour du cinquième mois du décès de M. U.O__________, sur tous les montants impayés à ce moment là. La recourante a été avisée de ce fait, à plusieurs reprises ainsi que de la possibilité de verser des acomptes pour limiter le montant des intérêts dus. De même, le point de départ desdits intérêts, soit le 27 octobre 1996, lui a été communiqué. Cette dernière ne saurait dès lors, aujourd'hui, s'opposer à leur paiement.</w:t>
      </w:r>
    </w:p>
    <w:p>
      <w:r>
        <w:t>L'hoirie pouvait par ailleurs d'ores et déjà régler le montant non contesté des droits de successions. En effet, le litige ne portant que sur la distraction des dettes successorales à hauteur de CHF 11'134.- (alors que l'avoir net imposable de la succession se montant à CHF 816'205), la recourante pouvait et devait se rendre compte que, même si sa prétention était finalement admise, elle ne diminuerait que très faiblement le montant dû par la succession. Ne pas verser d'acomptes, voire la part non contestée d'impôt, l'exposait au risque de devoir payer par la suite un montant non négligeable d'intérêts.</w:t>
      </w:r>
    </w:p>
    <w:p>
      <w:r>
        <w:t>C'est dès lors à bon droit que l'hoirie a été condamnée aux versements d'intérêts de bonification au sens de l'article 61A LDS, à compter du 27 octobre 1996.</w:t>
      </w:r>
    </w:p>
    <w:p>
      <w:r>
        <w:t>5. Dans un deuxième temps, la recourante fait grief à l'AFC d'avoir violé l'article 29 alinéa 1 Cst, en ayant prolongé inutilement la procédure de taxation de la succession. Elle conclut à ce que les intérêts débiteurs soient réduits à un montant équitable correspondant à une</w:t>
      </w:r>
    </w:p>
    <w:p>
      <w:r>
        <w:t>- 10 -</w:t>
      </w:r>
    </w:p>
    <w:p>
      <w:r>
        <w:t>procédure qui se serait déroulée dans un délai acceptable.</w:t>
      </w:r>
    </w:p>
    <w:p>
      <w:r>
        <w:t>6. a. Selon l'article 29 alinéa 1 Cst., toute personne a droit, dans une procédure judiciaire ou administrative, à ce que sa cause soit traitée équitablement et jugée dans un délai raisonnable (ATF non publié du 4 avril 2000 dans la cause 1A.65/2000).</w:t>
      </w:r>
    </w:p>
    <w:p>
      <w:r>
        <w:t>b. Ainsi, de jurisprudence constante, celui qui présente une requête à l'autorité est fondé à exiger que celle-ci se prononce sans retard injustifié, c'est-à-dire dans un délai convenable eu égard à la nature de l'affaire et à l'ensemble des circonstances (ATF 107 Ib 164 consid. b; ATF non publié du 21 août 1990). L'autorité commet un déni de justice lorsque, d'un point de vue objectif, aucune cause ne justifie l'allongement de la procédure au-delà de la durée normale (ATA H. du 31 août 1993).</w:t>
      </w:r>
    </w:p>
    <w:p>
      <w:r>
        <w:t>7. La procédure relative à la succession de M. U.O__________ dure depuis plus de six ans. Cela étant, on ne saurait considérer, eu égard à l'ensemble des circonstances, soit en particulier l'absence de domicile connu du défunt et l'existence d'actifs successoraux à l'étranger, que l'AFC a commis un déni de justice.</w:t>
      </w:r>
    </w:p>
    <w:p>
      <w:r>
        <w:t>Ainsi, s'il est vrai que, par décision du 26 octobre 2000, la commission a constaté que le représentant de l'hoirie avait entrepris toutes les démarches possibles, compte tenu du régime politique au Guatemala aux fins d'élucider la question de l'acquisition par le défunt de l'auberge sise dans ce pays, l'AFC se devait, auparavant, de vérifier l'exactitude des éléments figurant dans la déclaration de succession. Enfin, la procédure est actuellement toujours en cours, en raison également des divers recours et réclamations interjetés par la recourante.</w:t>
      </w:r>
    </w:p>
    <w:p>
      <w:r>
        <w:t>A titre subsidiaire, l'on rappelera que, quelle que soit la durée de la procédure, l'hoirie se devait de faire tout ce qui pouvait raisonnablement être exigé d'elle afin de réduire son dommage (HÖNGER/SUSSKIND, op. cit., n. 15 ad art. 61 LCA; MAURER, op. cit., p. 344 et les références citées). N'ayant rien entrepris dans ce sens, elle est aujourd'hui seule responsable de l'augmentation du montant des intérêts demandés.</w:t>
      </w:r>
    </w:p>
    <w:p>
      <w:r>
        <w:t>8. En tout point mal fondé, le recours sera rejeté.</w:t>
      </w:r>
    </w:p>
    <w:p>
      <w:r>
        <w:t>- 11 -</w:t>
      </w:r>
    </w:p>
    <w:p>
      <w:r>
        <w:t>Un émolument de CHF 2'000.-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