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ATA/692/2015 vom 30. Juni 2015</w:t>
      </w:r>
    </w:p>
    <w:p>
      <w:r>
        <w:t>GE Cour de justice, 2015-06-30, FR</w:t>
      </w:r>
    </w:p>
    <w:p>
      <w:r>
        <w:rPr>
          <w:b/>
        </w:rPr>
        <w:t xml:space="preserve">Quelle: </w:t>
      </w:r>
      <w:r>
        <w:t>https://mcp.opencaselaw.ch/entscheid/ge_gerichte_ATA_692_2015</w:t>
      </w:r>
    </w:p>
    <w:p>
      <w:r>
        <w:t>FR: GE_GERICHTE ATA/692/2015 du 30 juin 2015</w:t>
      </w:r>
    </w:p>
    <w:p>
      <w:r>
        <w:t>IT: GE_GERICHTE ATA/692/2015 del 30 giugno 2015</w:t>
      </w:r>
    </w:p>
    <w:p>
      <w:pPr>
        <w:pStyle w:val="Heading2"/>
      </w:pPr>
      <w:r>
        <w:t>Erwägungen</w:t>
      </w:r>
    </w:p>
    <w:p>
      <w:r>
        <w:rPr>
          <w:b/>
        </w:rPr>
        <w:t>E. 1</w:t>
      </w:r>
    </w:p>
    <w:p>
      <w:r>
        <w:t>Interjeté en temps utile devant la juridiction compétente, et après avoir épuisé la procédure d’opposition (art. 35 al. 4 LaLAT), le recours est à cet égard recevable (art. 132 de la loi sur l'organisation judiciaire du 26 septembre 2010 - LOJ ; 62 al. 1 let. a de la loi sur la procédure administrative du 12 septembre 1985 - LPA - E 5 10 ; ATA/664/2014 du 26 août 2014, consid. 3).</w:t>
      </w:r>
    </w:p>
    <w:p>
      <w:r>
        <w:rPr>
          <w:b/>
        </w:rPr>
        <w:t>E. 2</w:t>
      </w:r>
    </w:p>
    <w:p>
      <w:r>
        <w:t>Il ressort de la procédure que les recourants sont tous directement touchés (sur les principes applicables en la matière, voir ATA/170/2015 du 17 février 2015, consid. 3) par le PLQ litigieux, en leur qualité de propriétaires de parcelles immédiatement voisines du périmètre concerné, et pour partie d’entre eux de la parcelle de dépendance n° 2’818 visée directement, ce qui n’est d’ailleurs pas contesté par les intimés. Subséquemment, leur qualité pour recourir est établie. Il convient ainsi d’entrer en matière.</w:t>
      </w:r>
    </w:p>
    <w:p>
      <w:r>
        <w:rPr>
          <w:b/>
        </w:rPr>
        <w:t>E. 3</w:t>
      </w:r>
    </w:p>
    <w:p>
      <w:r>
        <w:t>a. 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t>b. Dans le domaine de l’aménagement du territoire, il est largement admis que l’examen de l’opportunité d’un acte de planification s’opère au stade de l’opposition (ATA/397/2009 du 25 août 2009, consid. 3 et les références citées). Des critiques de cette nature devant la chambre de céans sont partant irrecevables (ATA/172/2015 du 17 février 2015, consid. 6).</w:t>
      </w:r>
    </w:p>
    <w:p>
      <w:r>
        <w:rPr>
          <w:b/>
        </w:rPr>
        <w:t>E. 4</w:t>
      </w:r>
    </w:p>
    <w:p>
      <w:r>
        <w:t>Les recourants sollicitent à titre préalable la tenue d’un transport sur place.</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La jurisprudence retient en outre que le droit de faire administrer des preuves n’empêche cependant pas le juge de renoncer à l’administration de certaines preuves offertes et de procéder à une appréciation anticipée de ces</w:t>
      </w:r>
    </w:p>
    <w:p>
      <w:r>
        <w:t>- 8/15 - A/1724/2012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w:t>
      </w:r>
    </w:p>
    <w:p>
      <w:r>
        <w:t>En l’espèce, le dossier soumis à la chambre de céans est complet et permet de résoudre les questions pertinentes. Un double échange d’écritures a été conduit et a permis aux parties de s’exprimer sur ces dernières. Les recourants sollicitent essentiellement la tenue d’un transport sur place en lien avec la problématique de l’accès au parking souterrain, afin de démontrer que le chemin Docteur Jean- Louis Prévost ne serait pas adapté aux constructions prévues. Les éléments nécessaires pour trancher cette question figurent toutefois au dossier, singulièrement les préavis pertinents, conjugués à la consultation du système d'information sur le territoire genevois (ci-après : SITG). Dans ces circonstances, il n’y a pas lieu de procéder à un transport sur place.</w:t>
      </w:r>
    </w:p>
    <w:p>
      <w:r>
        <w:rPr>
          <w:b/>
        </w:rPr>
        <w:t>E. 5</w:t>
      </w:r>
    </w:p>
    <w:p>
      <w:r>
        <w:t>Les recourants dénoncent une violation de l’art. 6 al. 6 LGZD, au motif que le projet de PLQ et l’exposé des motifs l’accompagnant soumis à la ville étaient « bien différents » de ceux soumis à la procédure d’opposition.</w:t>
      </w:r>
    </w:p>
    <w:p>
      <w:r>
        <w:t>a. Selon l’art. 6 al. 1 LGZD, le projet de PLQ est soumis à une enquête publique d’au moins trente jours annoncée par voie de publication dans la FAO et d’affichage dans la commune. Des avis personnels sont envoyés sous pli recommandé aux propriétaires des terrains compris dans le périmètre lorsque le nombre des communications individuelles n’excède pas cinquante. Pendant l’enquête publique, chacun peut formuler des observations (art. 6 al. 2 LGZD). À l’issue de l’enquête publique, le département transmet à la commune les observations reçues. L’autorité municipale doit communiquer son préavis dans un délai de quarante-cinq jours à compter de la réception des observations (art. 6 al. 3 LGZD). Ensuite, le département examine si des modifications doivent être apportées au projet du PLQ pour tenir compte des observations recueillies et du préavis communal (art. 6 al. 5 LGZD). L’art. 6 al. 6 LGZD dispose que seules les modifications essentielles du projet du PLQ, soit celles qui ont pour conséquence un changement fondamental de ses caractéristiques, nécessitent l’engagement d’une nouvelle procédure. Puis, vient la phase de la procédure d’opposition, dans le cadre de laquelle toute personne disposant de la qualité pour recourir contre le PLQ peut déclarer son opposition, par acte écrit et motivé, au Conseil d’État (art. 6 al. 8 LGZD). Ce dernier statue sur les oppositions en principe dans un délai de soixante jours après la fin de la procédure d’opposition, le cas échéant modifie le projet et adopte ensuite le PLQ (art. 6 al. 9 phr. 1 LGZD). S’il a apporté des modifications au PLQ, le Conseil d’État examine préalablement s’il y a lieu de rouvrir tout ou partie de la procédure prévue à l’art. 6 LGZD (art. 6 al. 9 phr. 2 LGZD). L’art. 6 al. 6 LGZD est</w:t>
      </w:r>
    </w:p>
    <w:p>
      <w:r>
        <w:t>- 9/15 - A/1724/2012 applicable en cas de modifications essentielles (art. 6 al. 9 phr. 3 LGZD). Le délai prévu par l’art. 6 al. 9 LGZD est notamment suspendu en cas d’ouverture d’une nouvelle procédure d’opposition (art. 6 al. 9 phr. 4 let. b LGZD). L’adoption du PLQ fait l’objet d’une publication dans la FAO (art. 6 al. 9 phr. 5 LGZD).</w:t>
      </w:r>
    </w:p>
    <w:p>
      <w:r>
        <w:t>b. La jurisprudence a déjà pu préciser qu’il fallait apprécier les conditions de l’art. 6 al. 6 LGZD d’un point de vue objectif au regard du projet dans sa globalité, sans s’arrêter au point de vue du recourant. Ainsi, le léger déplacement d’un bâtiment de manière à éviter une servitude, sans autre modification substantielle de l’ensemble du projet, était admissible. En optant pour une nouvelle procédure d’opposition et en informant les premiers opposants, le département avait fait usage de sa liberté d’appréciation de manière conforme au droit (ATA/816/2014 du 28 octobre 2014, consid. 4). En 2001, il avait déjà été jugé qu’il convenait de prendre en considération toutes les circonstances, et les préavis collectés. En l’occurrence, il avait été jugé qu’une augmentation de 1.4 % de la surface était mineure (ATA/298/2001 du 8 mai 2001, consid. 6 et les références citées).</w:t>
      </w:r>
    </w:p>
    <w:p>
      <w:r>
        <w:t>En l’espèce, les recourants font valoir que le nombre de parcelles concernées (trois ou cinq, au lieu de quatre), la superficie du périmètre concerné (7'373 m2 au lieu de 7'400 m2), l’ampleur des élagages, le nombre de places de stationnement (165 au lieu de 148), la surface brute de plancher (13'370 m2 au lieu de 13'400 m2) et le nombre d’immeubles d’habitation (quatre au lieu de trois) ainsi que l’IUS (1.78 au lieu de 1.86) ont été erronément décrits dans l’exposé des motifs soumis à la ville, si bien que la procédure aurait dû recommencer pour tenir compte des modifications apportées subséquemment au préavis favorable des édiles municipaux. Si ces erreurs sont reconnues par l’autorité intimée, et pour regrettables qu’elles soient, elles ne sauraient pour autant constituer des modifications essentielles au sens de l’art. 6 al. 6 LGZD. En effet, il n’en a résulté aucune modification fondamentale du projet sur lequel le Conseil municipal de la ville a délibéré, sur la base des rapports d’une administration professionnelle et rompue à la lecture de plans localisés de quartier. C’est le lieu de relever que les recourants ne font pas valoir que c’est le plan qui aurait été modifié, mais limitent leurs critiques au contenu de l’exposé des motifs. Or, force est de constater que le plan en lui-même permettait, le cas échéant, de dissiper les doutes que la lecture de l’exposé des motifs pouvait créer. En effet, ce document reprend tous les détails litigieux, ce que sa simple consultation établit d’emblée. En tout état de cause, les modifications constatées, même à les supposer concrètes et non seulement, comme en l’espèce, purement sémantiques, ne pourraient atteindre le seuil commandant l’engagement d’une nouvelle procédure. De fait, les informalités relevées par les recourants demeurent mineures et ne remettent à aucun moment au second plan la description initiale - et demeurée identique - du PLQ, à savoir l’édification de trois bâtiments permettant la création d’environ 13'400 m2 de surface brute de plancher destinés au logement. Enfin, on peut</w:t>
      </w:r>
    </w:p>
    <w:p>
      <w:r>
        <w:t>- 10/15 - A/1724/2012 encore relever que l’art. 3 al. 5 à 7 LGZD, dans sa teneur en vigueur depuis le 21 mars 2015, permettrait encore à l’autorisation de construire d’intégrer pareilles évolutions. Dans ces circonstances, le reproche confine à un vain formalisme, sans portée est dénué de protection légale une fois remis dans son contexte ; l’autorité intimée pouvait par conséquent, dans le respect de son pouvoir d’appréciation, procéder comme elle l’a fait.</w:t>
      </w:r>
    </w:p>
    <w:p>
      <w:r>
        <w:t>Mal fondé, le grief doit être rejeté.</w:t>
      </w:r>
    </w:p>
    <w:p>
      <w:r>
        <w:rPr>
          <w:b/>
        </w:rPr>
        <w:t>E. 6</w:t>
      </w:r>
    </w:p>
    <w:p>
      <w:r>
        <w:t>Dans un second grief, les recourants reprochent au PLQ querellé de ne pas respecter les exigences posées dans le PDCn, singulièrement s’agissant de l’IUS. Ils font à cet égard valoir préjudiciellement que la modification du PDCn intervenue en 2006 (passage d’un IUS de maximum 1.00 à « 1.2 et plus ») aurait dû être soumise à l’enquête publique ; faute de l’avoir été, elle serait nulle. Ainsi, ce serait l’exigence d’un IUS de 1.00 maximum qui serait seule applicable, et non respectée par le PLQ.</w:t>
      </w:r>
    </w:p>
    <w:p>
      <w:r>
        <w:t>a. L'approbation des plans directeurs par le Conseil fédéral leur confère force obligatoire pour les autorités de la Confédération et pour celles des cantons voisins (art. 11 al. 2 de la loi fédérale sur l’aménagement du territoire du 22 juin l979 - LAT - RS 700), tandis que la force obligatoire s’impose aux autorités cantonales dès l’adoption du plan par le Grand Conseil (ATA/172/2015 précité, consid. 3).</w:t>
      </w:r>
    </w:p>
    <w:p>
      <w:r>
        <w:t>b. Si la modification du PDCn est mineure, le Conseil d’État peut statuer sans suivre la procédure ordinaire. Il publie alors sa décision dans la FAO et la communique pour approbation à l’office fédéral compétent. Les autorités concernées peuvent toutefois exiger que la procédure complète soit suivie, si elles estiment la modification importante (art. 6 LaLAT).</w:t>
      </w:r>
    </w:p>
    <w:p>
      <w:r>
        <w:t>En l’espèce, la modification contestée a été publiée dans la FAO en date du 30 mars 2007 et le Conseil fédéral l’a formellement approuvée, si bien qu’elle est applicable. Aucune des autorités concernées n’a alors fait valoir qu’il ne se serait pas agi d’une modification mineure, et on ne voit pas que tel ne fut pas le cas. Par ailleurs, les recourants ont eu la possibilité d’être entendus tout au long du processus (cf. ATA/320/2007 du 19 juin 2007, qui retrace l’historique des démarches intervenues et de la participation des recourants à celles-ci). Le grief des recourants est mal fondé pour ce motif déjà.</w:t>
      </w:r>
    </w:p>
    <w:p>
      <w:r>
        <w:t>À titre superfétatoire, on rappellera encore que le 20 septembre 2013, le Grand Conseil a adopté le PDCn 2030. Ce plan directeur a par ailleurs été approuvé par le Conseil fédéral en date du 29 avril 2015 (art. 5 al. 1 LaLAT et</w:t>
      </w:r>
    </w:p>
    <w:p>
      <w:r>
        <w:rPr>
          <w:b/>
        </w:rPr>
        <w:t>E. 11</w:t>
      </w:r>
    </w:p>
    <w:p>
      <w:r>
        <w:t>janvier 2011 consid. 7b).</w:t>
      </w:r>
    </w:p>
    <w:p>
      <w:r>
        <w:t>En l’occurrence, ainsi que le relève pertinemment l’autorité intimée dans ses écritures, les recourants se trompent en affirmant que la parcelle de dépendance serait concernée par la cession gratuite litigieuse, qui ne concerne que les parcelles nos 3’143, 3’209 et 3’210. Le reproche est donc vain. En tout état de cause, comme relevé ci-dessus (cf. consid. 8), la résolution de litiges d’ordre civil ne saurait faire obstacle à l’adoption d’un PLQ. Enfin, la jurisprudence a déjà pu relever qu’on ne saurait exiger qu’une cession au domaine public communal intervienne au stade de l’adoption du PLQ, plutôt que lors de sa mise en œuvre, pareille position étant injustifiée et absurde dans son résultat (ATA/162/2014 du</w:t>
      </w:r>
    </w:p>
    <w:p>
      <w:r>
        <w:t>- 14/15 - A/1724/2012 18 mars 2014, consid. 10). Le grief apparaît dans ce contexte, à le supposer recevable, manifestement mal fondé. 10.</w:t>
      </w:r>
    </w:p>
    <w:p>
      <w:r>
        <w:t>En définitive, le recours est entièrement mal fondé. Il sera partant rejeté. Les recourants, qui succombent, seront astreints au paiement d’un émolument de CHF 3'000.- pris conjointement et solidairement et seront condamnés à verser une indemnité de procédure de CHF 2'500.- aux promoteurs dans la mesure où ces appelés en cause y concluent expressément et ont exposé des frais pour leur défense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