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ATA/691/2024 vom 10. Juni 2024</w:t>
      </w:r>
    </w:p>
    <w:p>
      <w:r>
        <w:t>GE Cour de justice, 2024-06-10, FR</w:t>
      </w:r>
    </w:p>
    <w:p>
      <w:r>
        <w:rPr>
          <w:b/>
        </w:rPr>
        <w:t xml:space="preserve">Quelle: </w:t>
      </w:r>
      <w:r>
        <w:t>https://mcp.opencaselaw.ch/entscheid/ge_gerichte_ATA_691_2024</w:t>
      </w:r>
    </w:p>
    <w:p>
      <w:r>
        <w:t>FR: GE_GERICHTE ATA/691/2024 du 10 juin 2024</w:t>
      </w:r>
    </w:p>
    <w:p>
      <w:r>
        <w:t>IT: GE_GERICHTE ATA/691/2024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recourant se plaint implicitement d’une violation de la loi sur les taxis et les voitures de transport avec chauffeur du 13 octobre 2016 (LTVTC - H 1 31).</w:t>
      </w:r>
    </w:p>
    <w:p>
      <w:r>
        <w:rPr>
          <w:b/>
        </w:rPr>
        <w:t>E. 2.1</w:t>
      </w:r>
    </w:p>
    <w:p>
      <w:r>
        <w:t>L’art. 13 LTVTC règle les modalités de l’AUADP.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 Il ressort de l’art. 13 al. 5 LTVTC que l’AUADP est délivrée sur requête pour six ans à une personne physique ou morale aux conditions énumérées sous let. a à c. Selon l’al. 7 de cette disposition, l’AUADP est renouvelée lorsque la requête en renouvellement est déposée trois mois avant l’échéance de l’autorisation (let. a) ; les conditions de l’al. 5 sont toujours réalisées (let. b).</w:t>
      </w:r>
    </w:p>
    <w:p>
      <w:r>
        <w:rPr>
          <w:b/>
        </w:rPr>
        <w:t>E. 2.2</w:t>
      </w:r>
    </w:p>
    <w:p>
      <w:r>
        <w:t>Depuis le 7 mai 2024, plusieurs dispositions du règlement d'exécution de la loi sur les taxis et les voitures de transport avec chauffeur du 21 juin 2017 (RTVTC - H 1 31 01) ont été modifiées, principalement pour attribuer plusieurs compétences spécifiquement à la direction du PCTN.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w:t>
      </w:r>
    </w:p>
    <w:p>
      <w:r>
        <w:t>- 6/9 - A/4273/2023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(ATA/659/2023 du 20 juin 2023 consid. 3.1 et les références citées). En conséquence, la cause est soumise aux dispositions du RTVTC dans sa teneur avant le 7 mai 2024, les modifications n’étant pour le surplus pas déterminantes en l’espèce.</w:t>
      </w:r>
    </w:p>
    <w:p>
      <w:r>
        <w:rPr>
          <w:b/>
        </w:rPr>
        <w:t>E. 2.3</w:t>
      </w:r>
    </w:p>
    <w:p>
      <w:r>
        <w:t>L’art. 21 RTVTC, dans sa teneur avant le 7 mai 2024, prévoit que le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Le PCTN n'entre pas en matière sur les requêtes en renouvellement déposées en dehors du délai (al. 3). La requête en renouvellement doit être déposée au moyen de la formule officielle correspondante, dûment complétée et accompagnée des documents mentionnés dans ladite formule (al. 4). L'art. 5 est applicable pour le surplus (al. 5). Selon l’art. 5 RTVTC dans sa teneur avant le 7 mai 2024, les requêtes en autorisation doivent être déposées auprès du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deux mois (al. 5).</w:t>
      </w:r>
    </w:p>
    <w:p>
      <w:r>
        <w:rPr>
          <w:b/>
        </w:rPr>
        <w:t>E. 2.4</w:t>
      </w:r>
    </w:p>
    <w:p>
      <w:r>
        <w:t>Le département constate la caducité de l’autorisation lorsque, notamment, son titulaire ne dépose pas une requête en renouvellement trois mois avant son échéance (art. 13 al. 9 let. b LTVTC). Dans ce cas, le département ordonne le dépôt des plaques d’immatriculation correspondantes auprès de l’autorité qui est compétente pour les délivrer (art. 13 al. 10 LTVTC).</w:t>
      </w:r>
    </w:p>
    <w:p>
      <w:r>
        <w:rPr>
          <w:b/>
        </w:rPr>
        <w:t>E. 2.5</w:t>
      </w:r>
    </w:p>
    <w:p>
      <w:r>
        <w:t>En l’espèce, seul est litigieux le renouvellement de l’AUADP portant sur l’immatriculation GE 1______. Le recourant ne conteste pas avoir reçu le courrier du 2 mai 2023 attirant son attention sur les conditions du renouvellement de l’AUADP « délivrée le</w:t>
      </w:r>
    </w:p>
    <w:p>
      <w:r>
        <w:rPr>
          <w:b/>
        </w:rPr>
        <w:t>E. 2.6</w:t>
      </w:r>
    </w:p>
    <w:p>
      <w:r>
        <w:t>Le recourant soutient que la succession des deux lettres portait à confusion et qu’il avait cru, à tort, à une prolongation du délai initial. Il se plaint d’une violation du principe de la bonne foi.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Si certes les correspondances ne faisaient pas mention des plaques d’immatriculation, les lettres se référaient à des AUADP délivrées à des dates différentes. Le recourant a d’ailleurs relevé dans sa réplique qu’elles n’étaient pas rédigées de la même façon (07/11/2017 et 11 décembre 2017). Ceci était un facteur supplémentaire pour attirer son attention. L’État n’ayant pas fourni de renseignement erroné à l’administré, celui-ci ne peut se prévaloir du principe de la bonne foi. De surcroît, le recourant aurait dû être plus attentif au contenu des correspondances litigieuses. La troisième condition précitée ne serait en tous les cas pas remplie.</w:t>
      </w:r>
    </w:p>
    <w:p>
      <w:r>
        <w:rPr>
          <w:b/>
        </w:rPr>
        <w:t>E. 2.7</w:t>
      </w:r>
    </w:p>
    <w:p>
      <w:r>
        <w:t>Le recourant invoque un cas de force majeure au vu de sa totale incapacité de travailler en mai 2023. Un délai fixé par la loi ne peut être prolongé. Les cas de force majeure sont réservés (art. 16 al. 1 LPA). Tombent sous cette notion les événements extraordinaires et imprévisibles qui surviennent en dehors de la sphère d'activité de l'intéressé et qui s’imposent à lui de façon irrésistible (SJ 1999 I 119 ; ATA/871/2019 du 7 mai 2019 consid. 2c et les références citées). La maladie n’est admise comme motif d'excuse que si elle empêche le recourant d'agir par lui-même ou de donner à un tiers les instructions nécessaires pour agir à sa place (ATA/514/2024 du 23 avril 2024 consid. 3 et la référence citée). L’art. 16 al. 1 LPA s’applique aux délais prévus par l’art. 13 al. 7 LTVTC et 21 al. 2 RTVTC (ATA/1110/2023 du 10 octobre 2023 consid. 4.5).</w:t>
      </w:r>
    </w:p>
    <w:p>
      <w:r>
        <w:t>- 8/9 - A/4273/2023 En l’espèce, le recourant invoque une incapacité totale de travailler au mois de juillet 2023 qui l’aurait empêché d’entreprendre les démarches dans le délai. Il ne prouve toutefois pas qu’il n’aurait pas été en état de solliciter un tiers pour le soutenir dans ses démarches administratives et déposer le formulaire de demande de renouvellement de son AUADP pour les plaques GE 1______ dans le délai prescrit. Les troubles de mémoire et de concentration évoqués par son médecin traitant dans le certificat médical du 25 avril 2024 n’impliquent pas nécessairement que le recourant n’aurait pas pu en discuter avec un tiers, dans son milieu professionnel ou familial, et lui confier la tâche de veiller audit renouvellement.</w:t>
      </w:r>
    </w:p>
    <w:p>
      <w:r>
        <w:rPr>
          <w:b/>
        </w:rPr>
        <w:t>E. 2.8</w:t>
      </w:r>
    </w:p>
    <w:p>
      <w:r>
        <w:t>Le chauffeur relève que les certificats médicaux ont été admis pour le dépôt, tardif, de sa requête en autorisation d’exploiter une entreprise de transport de taxis. S’agissant d’une problématique différente, soumise à d’autres dispositions légales, le recourant ne peut s’en prévaloir. De même, le fait que le PCTN ait connu l’existence d’un contrat de travail avec B______ est sans incidence sur les exigences légales en lien avec le renouvellement d’une AUADP.</w:t>
      </w:r>
    </w:p>
    <w:p>
      <w:r>
        <w:rPr>
          <w:b/>
        </w:rPr>
        <w:t>E. 2.9</w:t>
      </w:r>
    </w:p>
    <w:p>
      <w:r>
        <w:t>Le recourant indique qu’il aurait déposé, le 9 août 2023, les requêtes pour le renouvellement des deux AUADP. Or, d’une part, la requête pour l’immatriculation GE 1______ resterait tardive. D’autre part, aucune mention n’est faite des deux plaques d’immatriculation dans le formulaire. Le recourant indique avoir oublié de joindre copie de l’AUADP du</w:t>
      </w:r>
    </w:p>
    <w:p>
      <w:r>
        <w:rPr>
          <w:b/>
        </w:rPr>
        <w:t>E. 2.10</w:t>
      </w:r>
    </w:p>
    <w:p>
      <w:r>
        <w:t>Le recourant invoque le dépôt d’une requête pour personne morale. Ce fait, non contesté, est sans incidence sur l’issue du litige. Même à suivre le recourant et à considérer que sa requête incluait les deux AUADP, le dépôt de la demande de renouvellement pour la plaque GE 1______ était tardif. En tous points infondé, le recours sera rejeté. 3. Vu l’issue du litige, un émolument de CHF 500.- sera mis à la charge du recourant (art. 87 al. 1 LPA) et aucune indemnité de procédure ne lui sera allouée (art. 87 al. 2 LPA). ******</w:t>
      </w:r>
    </w:p>
    <w:p>
      <w:r>
        <w:rPr>
          <w:b/>
        </w:rPr>
        <w:t>E. 7</w:t>
      </w:r>
    </w:p>
    <w:p>
      <w:r>
        <w:t>novembre 2017, ce qui conforte la position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