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ATA/690/2021 vom 30. Juni 2021</w:t>
      </w:r>
    </w:p>
    <w:p>
      <w:r>
        <w:t>GE Cour de justice, 2021-06-30, FR</w:t>
      </w:r>
    </w:p>
    <w:p>
      <w:r>
        <w:rPr>
          <w:b/>
        </w:rPr>
        <w:t xml:space="preserve">Quelle: </w:t>
      </w:r>
      <w:r>
        <w:t>https://mcp.opencaselaw.ch/entscheid/ge_gerichte_ATA_690_2021</w:t>
      </w:r>
    </w:p>
    <w:p>
      <w:r>
        <w:t>FR: GE_GERICHTE ATA/690/2021 du 30 juin 2021</w:t>
      </w:r>
    </w:p>
    <w:p>
      <w:r>
        <w:t>IT: GE_GERICHTE ATA/690/2021 del 30 giugno 2021</w:t>
      </w:r>
    </w:p>
    <w:p>
      <w:pPr>
        <w:pStyle w:val="Heading2"/>
      </w:pPr>
      <w:r>
        <w:t>Erwägungen</w:t>
      </w:r>
    </w:p>
    <w:p>
      <w:r>
        <w:rPr>
          <w:b/>
        </w:rPr>
        <w:t>E. 12</w:t>
      </w:r>
    </w:p>
    <w:p>
      <w:r>
        <w:t>septembre 1985 - LPA - E 5 10). 2)</w:t>
      </w:r>
    </w:p>
    <w:p>
      <w:r>
        <w:t>Le recours porte sur la conformité au droit du jugement du TAPI du 4 juin 2020 confirmant le refus d'octroi d'une autorisation de séjour au recourant et son renvoi de Suisse. 3)</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w:t>
      </w:r>
    </w:p>
    <w:p>
      <w:r>
        <w:t>Le recourant reproche au TAPI de ne pas avoir ordonné l'apport de la procédure pénale actuellement en cours et d'avoir en conséquence violé son droit d'être entendu.</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w:t>
      </w:r>
    </w:p>
    <w:p>
      <w:r>
        <w:t>- 9/18 - A/278/2020</w:t>
      </w:r>
    </w:p>
    <w:p>
      <w:r>
        <w:t>b. Dans le présent cas, il ne résulte pas de la procédure que le recourant aurait sollicité du TAPI l'apport de la procédure pénale qu'il a initiée à l'encontre des animateurs de la société auprès de laquelle il travaillait lorsqu'il a eu son accident. Par ailleurs, le recourant n'a fourni aucun élément ni aucune explication concernant l'avancement de cette procédure, laquelle a été initiée le 3 juin 2015, soit depuis plus de cinq ans. Il ne cite d'ailleurs aucun numéro de procédure.</w:t>
      </w:r>
    </w:p>
    <w:p>
      <w:r>
        <w:t>Au vu des éléments qui précèdent, il ne se justifie pas d'ordonner l'apport d'une procédure dont la chambre de céans ignore tout et dont le recourant ne démontre pas quelles conséquences cette procédure pourrait avoir sur la présente cause.</w:t>
      </w:r>
    </w:p>
    <w:p>
      <w:r>
        <w:t>Par conséquent, le grief tiré de la violation du droit d'être entendu du recourant sera rejeté. 5)</w:t>
      </w:r>
    </w:p>
    <w:p>
      <w:r>
        <w:t>Le recourant reproche au TAPI de ne pas avoir admis l'existence d'un cas individuel d'extrême gravité.</w:t>
      </w:r>
    </w:p>
    <w:p>
      <w:r>
        <w:t>a. 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b. En l'espèce, le recourant a déposé sa demande avant le 1er janvier 2019. Il s'ensuit que c'est l'ancien droit qui s'applique, soit la LEI et l'OASA dans leur teneur avant le 1er janvier 2019, étant néanmoins précisé que même si les nouvelles dispositions devaient s'appliquer, lesquelles sont restées pour la plupart identiques, cela ne modifierait rien à l'issue du litige compte tenu de ce qui suit. 6) a.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 7)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w:t>
      </w:r>
    </w:p>
    <w:p>
      <w:r>
        <w:t>- 10/18 - A/278/2020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8) a.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[ci-après : SEM], Directives et commentaires, Domaine des étrangers, 2013, état au 1er novembre 2019, ch. 5.6.10 ; ATA/340/2020 du 7 avril 2020 consid. 8a).</w:t>
      </w:r>
    </w:p>
    <w:p>
      <w:r>
        <w:t>L’art. 58a al. 1 LEI précise que pour évaluer l’intégration, l’autorité compétente tient compte des critères suivants : le respect de la sécurité et de l’ordre publics (let. a), le respect des valeurs de la Cst. (let. b), les compétences linguistiques (let. c), et la participation à la vie économique ou l’acquisition d’une formation (let. d).</w:t>
      </w:r>
    </w:p>
    <w:p>
      <w:r>
        <w:t>b. Les dispositions dérogatoires des art. 30 LEI et 31 OASA présentent un caractère exceptionnel et les conditions pour la reconnaissance d'une telle situation doivent être appréciées de manière restrictive (ATF 128 II 200</w:t>
      </w:r>
    </w:p>
    <w:p>
      <w:r>
        <w:t>- 11/18 - A/278/2020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w:t>
      </w:r>
    </w:p>
    <w:p>
      <w:r>
        <w:rPr>
          <w:b/>
        </w:rPr>
        <w:t>E. 17</w:t>
      </w:r>
    </w:p>
    <w:p>
      <w:r>
        <w:t>novembre 2014 consid. 4.3).</w:t>
      </w:r>
    </w:p>
    <w:p>
      <w:r>
        <w:t>La jurisprudence requiert, de manière générale, une très longue durée (Minh SON NGUYEN/Cesla AMARELLE, Code annoté de droit des migrations, LEtr, volume 2, 2017, p. 269 et les références citées). Après un séjour régulier de</w:t>
      </w:r>
    </w:p>
    <w:p>
      <w:r>
        <w:t>- 12/18 - A/278/2020 dix ans, il faut en principe présumer que les relations sociales entretenues en Suisse par la personne concernée sont devenues si étroites que des raisons particulières sont nécessaires pour mettre fin à son séjour dans ce pays (ATF 144 I 266 consid. 3.8).</w:t>
      </w:r>
    </w:p>
    <w:p>
      <w:r>
        <w:t>Par durée assez longue, la jurisprudence entend une période de sept à huit ans (arrêt du TAF C-7330/2010 du 19 mars 2012 consid. 5.3 ; Minh SON NGUYEN/Cesla AMARELLE, op. cit., p. 269).</w:t>
      </w:r>
    </w:p>
    <w:p>
      <w:r>
        <w:t>Selon la jurisprudence constante du TAF,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(arrêts du TAF 2009/2 consid. 9.3.2 et F-2594/2019 du 12 février 2021 consid. 9.9.2 et la jurisprudence citée). 9)</w:t>
      </w:r>
    </w:p>
    <w:p>
      <w:r>
        <w:t>En l'espèce, il y a lieu d'analyser la situation du recourant de manière circonstanciée en tenant compte de l'ensemble des critères à prendre en considération en vertu de l'art. 30 al. 1 let. b LEI en relation avec l'art. 31 al. 1 OASA et de la jurisprudence applicable en la matière.</w:t>
      </w:r>
    </w:p>
    <w:p>
      <w:r>
        <w:t>S'agissant tout d'abord de la durée de présence en Suisse du recourant, ce dernier a déclaré être entré sur sol helvétique en mars 2013, ce qui constitue un séjour de huit ans jusqu'à ce jour. L'intéressé n'a toutefois jamais été mis au bénéfice d'une autorisation de séjour en Suisse, bien qu'il ait déposé une demande en ce sens le 24 juillet 2015. Sa présence depuis cette dernière date ne résulte désormais que d'une simple tolérance cantonale, respectivement de l'effet suspensif accordé à la procédure cantonale. La durée du séjour de l'intéressé en Suisse doit donc être fortement relativisée et ne peut pas être prise en considération, ou alors seulement dans une mesure très restreinte (ATF 130 II 39 consid. 3, ATAF 2007/45 consid. 4.4 et 6.3 et ATAF 2007/44 consid. 5.2). Dans ces circonstances, le recourant ne saurait tirer parti de la seule durée de son séjour en Suisse pour bénéficier d'une dérogation aux conditions d'admission. En tout état, selon la jurisprudence applicable en la matière, le simple fait pour un étranger de séjourner en Suisse pendant plusieurs années ne permet pas d'admettre un cas personnel d'une extrême gravité (ATAF 2007/16 consid. 7).</w:t>
      </w:r>
    </w:p>
    <w:p>
      <w:r>
        <w:t>Partant, il y a lieu d'examiner si des critères d'évaluation – autres que la seule durée du séjour en Suisse – seraient de nature à admettre qu'un départ de ce pays placerait l'intéressé dans une situation extrêmement rigoureuse.</w:t>
      </w:r>
    </w:p>
    <w:p>
      <w:r>
        <w:t>- 13/18 - A/278/2020</w:t>
      </w:r>
    </w:p>
    <w:p>
      <w:r>
        <w:t>Sur le plan professionnel, il y a lieu de relever que le recourant a commencé à travailler illégalement en Suisse. De plus, même s'il a exercé une activité professionnelle auprès de diverses entreprises genevoises puis au sein de deux entreprises de construction dont il est respectivement titulaire et associé-gérant depuis le 23 août et le 22 novembre 2019, son intégration professionnelle, si elle ne peut être niée, ne revêt pas un caractère exceptionnel. En particulier, il n'établit pas avoir acquis, pendant son séjour, des connaissances et qualifications spécifiques qu'il ne pourrait pas mettre à profit dans son pays et n'a pas non plus réalisé une ascension professionnelle remarquable. On ne saurait en outre admettre, sur la base des éléments qui précèdent, que le prénommé se soit créé avec la Suisse des attaches professionnelles à ce point profondes et durables qu'il ne puisse plus raisonnablement envisager un retour dans son pays d'origine. Son intégration professionnelle en Suisse ne saurait donc être considérée comme exceptionnelle au point de justifier à elle seule, l'octroi d'une autorisation de séjour en dérogation aux conditions d'admission ordinaires.</w:t>
      </w:r>
    </w:p>
    <w:p>
      <w:r>
        <w:t>S'agissant de l'intégration du recourant sur le plan social, l'intéressé bénéficie d'un réseau familial en Suisse et il entretient des contacts réguliers avec ses deux frères. Il a également pu nouer de nombreux contacts avec la population locale, ce qui est confirmé par plusieurs lettres de soutien produites. Cela étant, s'il est certes avéré que l'intéressé a tissé des liens non négligeables avec son milieu,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à elles seules des éléments déterminants pour la reconnaissance d'une situation d'extrême gravité. Ceci observé, l'intégration sociale du recourant ne saurait être qualifiée de remarquable au point de rendre excessivement difficile un départ de la Suisse.</w:t>
      </w:r>
    </w:p>
    <w:p>
      <w:r>
        <w:t>S'agissant des arguments du recourant liés à son état de santé, il n'est pas contesté que ce dernier est atteint dans sa santé. Toutefois, même à admettre que son traitement médicamenteux et son suivi thérapeutique hebdomadaire ne seraient pas disponibles au Kosovo, ce qui n'est pas démontré, le dossier ne contient aucun indice permettant d'inférer qu'en cas de départ de Suisse, l'intéressé risquerait une aggravation à ce point sévère de son état de santé qu'elle justifierait la reconnaissance d'un cas de rigueur. Il importe de rappeler à ce sujet que selon la jurisprudence constante du TAF, le seul fait d'obtenir en Suisse des prestations médicales supérieures à celles offertes dans le pays d'origine ne suffit pas à justifier l'octroi d'une autorisation de séjour. Compte tenu de l'ensemble des éléments qui précèdent, on doit considérer que le recourant pourra bénéficier, à</w:t>
      </w:r>
    </w:p>
    <w:p>
      <w:r>
        <w:t>- 14/18 - A/278/2020 son retour au Kosovo, d'une prise en charge médicale adéquate. Aussi, dans la mesure où le recourant n'a pas démontré que son renvoi au Kosovo l'exposerait à une grave péjoration de son état de santé, son atteinte à la santé n'est pas susceptible de justifier la reconnaissance d'un cas de rigueur.</w:t>
      </w:r>
    </w:p>
    <w:p>
      <w:r>
        <w:t>Quant aux possibilités de réintégration du recourant dans son pays d'origine au sens de l'art. 31 al. 1 let. g OASA, il convient de noter qu'il est arrivé en Suisse à l'âge de 32 ans, de sorte qu'il a passé toute son enfance, son adolescence et une partie de sa vie d'adulte dans son pays d'origine, années déterminantes pour la formation de la personnalité du recourant. et, partant, pour l'intégration socioculturelle. Il n'est par ailleurs pas concevable que son pays d'origine lui soit devenu à ce point étranger qu'il ne serait plus en mesure, après une période de réadaptation, d'y retrouver ses repères. De plus, il est vraisemblable que celui-ci bénéficie dans son pays d'origine d'un réseau familial susceptible de faciliter sa réintégration. Le recourant a d'ailleurs admis que dix-sept membres de sa famille vivent encore au Kosovo, quand bien même plusieurs membres de son cercle familial vivent en Suisse. Enfin, le recourant est encore jeune et capable de travailler à plein temps.</w:t>
      </w:r>
    </w:p>
    <w:p>
      <w:r>
        <w:t>En outre, il n'y a pas lieu de prendre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(ATAF 2007/45 consid. 7.6, 2007/44 consid. 5.3 et 2007/16 consid. 10 et la jurisprudence citée).</w:t>
      </w:r>
    </w:p>
    <w:p>
      <w:r>
        <w:t>Il reste à déterminer si la situation familiale fait obstacle au renvoi du recourant (art. 30 al. 1 let. b LEI en relation avec l'art. 31 al. 1 let. c OASA). Dans ce contexte, celui-ci invoque l'art. 8 de la Convention de sauvegarde des droits de l’homme et des libertés fondamentales du 4 novembre 1950 (CEDH - RS 0.101) dont il convient de tenir compte dans l'interprétation des normes précitées de droit interne. En effet, un étranger peut, selon les circonstances, se prévaloir de cette disposition conventionnelle pour s'opposer à une éventuelle séparation de sa famille et obtenir ainsi une autorisation de séjour. À cet égard, le recourant dispose certes d'attaches familiales importantes en Suisse où résident notamment ses deux frères et leurs familles respectives. Cela étant, ces relations ne sont pas couvertes par l'art. 8 CEDH, dès lors que, d'après la jurisprudence du Tribunal fédéral, les relations familiales qui peuvent fonder, en vertu de l'art. 8 § 1 CEDH, un droit à une autorisation de police des étrangers sont avant tout les rapports entre époux ainsi qu'entre parents et enfants vivant ensemble (ATF 140 I 77 consid. 5.2 ; 137 I 113 consid. 6.1 ; 135 I 143 consid. 1.3.2). Or, le recourant est majeur et n'a pas démontré un quelconque lien de dépendance avec un membre de sa famille vivant en Suisse permettant l'application de l'art. 8 CEDH sous l'angle de la protection de la vie familiale (ATF 129 II 11 consid. 2, arrêt du</w:t>
      </w:r>
    </w:p>
    <w:p>
      <w:r>
        <w:t>- 15/18 - A/278/2020 Tribunal fédéral 2C_969/2017 du 2 juillet 2018 consid. 1.1.2). Il s'ensuit que la décision litigieuse est conforme aux exigences posées par l'art. 8 CEDH et la jurisprudence applicable en la matière.</w:t>
      </w:r>
    </w:p>
    <w:p>
      <w:r>
        <w:t>Par conséquent, au terme d'une appréciation détaillée de l'ensemble des circonstances afférentes à la présente cause, la chambre de céans, à l'instar du TAPI, parvient à la conclusion que la situation du recourant, envisagée dans sa globalité, n'est pas constitutive d'un cas individuel d'extrême gravité au sens de l'art. 30 al. 1 let. b LEI et de la jurisprudence restrictive applicable en la matière. C'est donc à juste titre que le TAPI a confirmé le refus d'octroi d'une autorisation de séjour au recourant en vertu de la disposition précitée. 10) a. Selon l'art. 64 al. 1 LEI, les autorités compétentes rendent une décision de renvoi ordinaire à l'encontre d'un étranger qui n'a pas d'autorisation alors qu'il y est tenu (let. a), d'un étranger qui ne remplit pas ou ne remplit plus les conditions d'entrée en Suisse (let. b) ou d'un étranger auquel l'autorisation de séjour est refusée ou dont l'autorisation, bien que requise, est révoquée ou n'est pas prolongé après un séjour autorisé (let. c).</w:t>
      </w:r>
    </w:p>
    <w:p>
      <w:r>
        <w:t>Elle ne dispose à ce titre d'aucun pouvoir d'appréciation, le renvoi constituant la conséquence logique et inéluctable du rejet d'une demande d'autorisation (arrêts du TAF C-5268/2008 du 1er juin 2011 consid. 10 ; C-406/2006 du 2 septembre 2008 consid. 8 et la référence citée ; cf. aussi notamment ATA/598/2014 du 29 juillet 2014 consid. 12 ; ég. ATA/228/2015 du 2 mars 2015 consid. 8 ; ATA/182/2014 du 25 mars 2014 consid. 12).</w:t>
      </w:r>
    </w:p>
    <w:p>
      <w:r>
        <w:t>b. En l'occurrence, dans la mesure où le recourant n'obtient pas l'autorisation de séjour sollicitée, c'est également à bon droit que l'OCPM a prononcé le renvoi de celui-ci de Suisse, conformément à l'art. 64 al. 1 let. c LEI, ce qu'a confirmé à juste titre le TAPI.</w:t>
      </w:r>
    </w:p>
    <w:p>
      <w:r>
        <w:t>De plus, à teneur des éléments du dossier, rien n'indique que l'exécution dudit renvoi serait impossible, illicite ou non raisonnablement exigible au sens de l'art. 83 al. 2 à 4 LEI, étant précisé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interviendrait nécessairement plus tard, en temps approprié (arrêt du TAF E-7106/2018 du 4 mai 2021 consid. 8.2 et les références citées).</w:t>
      </w:r>
    </w:p>
    <w:p>
      <w:r>
        <w:t>En outre,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w:t>
      </w:r>
    </w:p>
    <w:p>
      <w:r>
        <w:t>- 16/18 - A/278/2020 ne suffisent pas en soi à réaliser une mise en danger concrète selon l'art. 83 al. 4 LEI, étant rappelé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(arrêt du TAF D-1573/2020 du 12 mai 2020 consid. 7.1 et 7.2 et les références citées). 11) Dans ces circonstances, la décision de l'autorité intimée est conforme au droit et le recours contre le jugement du TAPI sera rejeté. 12)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