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ATA/690/2003 vom 23. September 2003</w:t>
      </w:r>
    </w:p>
    <w:p>
      <w:r>
        <w:t>GE Cour de justice, 2003-09-23, FR</w:t>
      </w:r>
    </w:p>
    <w:p>
      <w:r>
        <w:rPr>
          <w:b/>
        </w:rPr>
        <w:t xml:space="preserve">Quelle: </w:t>
      </w:r>
      <w:r>
        <w:t>https://mcp.opencaselaw.ch/entscheid/ge_gerichte_ATA_690_2003</w:t>
      </w:r>
    </w:p>
    <w:p>
      <w:r>
        <w:t>FR: GE_GERICHTE ATA/690/2003 du 23 septembre 2003</w:t>
      </w:r>
    </w:p>
    <w:p>
      <w:r>
        <w:t>IT: GE_GERICHTE ATA/690/2003 del 23 settembre 2003</w:t>
      </w:r>
    </w:p>
    <w:p>
      <w:pPr>
        <w:pStyle w:val="Heading2"/>
      </w:pPr>
      <w:r>
        <w:t>Regeste</w:t>
      </w:r>
    </w:p>
    <w:p>
      <w:r>
        <w:t>Résumé: Rappel de la définition de la teneur et de la portée d'un PLQ dans le cadre de l'aménagement du territoire genevois. Dès lors que les plans d'affectation ont force obligatoire pour chacun, les projets de construction, concernant des parcelles comprises dans son périmètre, doivent lui être conformes. Dès lors, en refusant une autorisation de construire conforme au PLQ, le DAEL a violé la force obligatoire et contraignante pour les autorités des affectations prévues dans le cadre dudit plan.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DAEL fait grief à la commission d'avoir consacré une violation du PLQ n° 28878, des articles 7 et 8 LDTR et de l'article 3 alinéa 1 lettre b LGZD. Par ailleurs, la commission aurait violé son droit d'être entendu en n'entrant pas en matière sur les arguments de fond soulevés par devant elle. Enfin, en soutenant que l'immeuble litigieux serait doté d'une affectation commerciale, les intimés contrevenaient aux règles de la bonne foi.</w:t>
      </w:r>
    </w:p>
    <w:p>
      <w:r>
        <w:t>Définition, teneur et portée du PLQ du n° 28878</w:t>
      </w:r>
    </w:p>
    <w:p>
      <w:r>
        <w:t>du 25 juin 1997 :</w:t>
      </w:r>
    </w:p>
    <w:p>
      <w:r>
        <w:rPr>
          <w:b/>
        </w:rPr>
        <w:t>E. 3</w:t>
      </w:r>
    </w:p>
    <w:p>
      <w:r>
        <w:t>a. A Genève, la notion de PLQ est définie à l'article 13 de la loi d'application de la loi fédérale sur l'aménagement du territoire du 4 juin 1987 (LALAT - L 1 30) qui dispose que l'affectation et le régime d'aménagement des terrains compris à l'intérieur d'une ou plusieurs zones peuvent être précisés par divers types de plans et règlements, dont notamment les plans localisés de quartier visés par la LExt et la LGZD (lettre a).</w:t>
      </w:r>
    </w:p>
    <w:p>
      <w:r>
        <w:t>b. Cette disposition constitue en réalité une disposition d'application des règles prévues aux articles 14 et suivants de la loi fédérale sur l'aménagement du territoire du 22 juin 1979 (LAT - RS 700) prévoyant l'obligation pour les cantons d'adopter des plans d'affectation réglant le mode d'utilisation du sol.</w:t>
      </w:r>
    </w:p>
    <w:p>
      <w:r>
        <w:t>c. Il en découle que le PLQ, tel qu'il est prévu par la LGZD n'est autre qu'un plan d'affectation au sens de la législation fédérale sur l'aménagement du territoire (A. MAUNOIR, "Les zones de développement dans le canton de Genève", Guide juridique et pratique, Publication de la Fédération genevoise des Syndicats Patronaux, 1999, p. 24 et les références citées).</w:t>
      </w:r>
    </w:p>
    <w:p>
      <w:r>
        <w:rPr>
          <w:b/>
        </w:rPr>
        <w:t>E. 4</w:t>
      </w:r>
    </w:p>
    <w:p>
      <w:r>
        <w:t>La notion de PLQ ayant été précisée, il s'agira de déterminer quelle est la teneur du PLQ n° 28878. En effet, selon le département, ce dernier ne chercherait pas à modifier l'affectation du bâtiment litigieux mais à conserver son affectation au jour de l'adoption dudit</w:t>
      </w:r>
    </w:p>
    <w:p>
      <w:r>
        <w:t>- 8 -</w:t>
      </w:r>
    </w:p>
    <w:p>
      <w:r>
        <w:t>PLQ, ce que contestent les intimés. Enfin, la portée d'un tel plan sera examinée.</w:t>
      </w:r>
    </w:p>
    <w:p>
      <w:r>
        <w:t>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125 II 480 consid. 4 p. 484). Le Tribunal fédéral utilise les diverses méthodes d'interprétation de manière pragmatique, sans établir entre elles un ordre de priorité hiérarchique (ATF 125 II 206 consid. 4a p. 208/209). Il n'y a pas lieu de s'écarter de ces règles d'interprétation en matière de PLQ.</w:t>
      </w:r>
    </w:p>
    <w:p>
      <w:r>
        <w:t>b. Il ressort du texte clair et sans équivoque du PLQ n° 28878 que ce dernier affecte le bâtiment litigieux aux activités administratives. En l'absence de mention à ce sujet, cette affectation ne saurait être considérée comme provisoire. A cet effet, le Tribunal fédéral a d'ailleurs admis qu'un PLQ pouvait, sans violer la garantie de la propriété, imposer non seulement un maintien de l'affectation existante, mais également un changement d'affectation (ATF n.p. du 12 novembre 1991 dans les causes 1P 107/1991/PS et 1P.117/1991/PS). Tel est précisément le cas en l'espèce. La thèse du département sera ainsi rejetée.</w:t>
      </w:r>
    </w:p>
    <w:p>
      <w:r>
        <w:t>c. Le contexte dans lequel ce PLQ a été adopté va également dans le sens d'une telle interprétation. Il ressort en effet des diverses pièces versées à la procédure, soit en particulier du procès-verbal de réunion du 30 juin 1995 entre le Conseiller d'Etat en charge du DAEL et le président des SIG, une forte volonté de maintenir l'affectation administrative du bâtiment C. De même, à teneur de la proposition n° 186 du Conseil administratif du DAEL, le PLQ n° 28878 se caractérisait notamment par le maintien du bâtiment C, affecté à des surfaces administratives et par l'affectation d'une surface de plusieurs milliers de m2 au logement, au sein du même périmètre, propriété des SIG, ce en conformité avec les exigences de l'article 8 LDTR.</w:t>
      </w:r>
    </w:p>
    <w:p>
      <w:r>
        <w:t>- 9 -</w:t>
      </w:r>
    </w:p>
    <w:p>
      <w:r>
        <w:rPr>
          <w:b/>
        </w:rPr>
        <w:t>E. 5</w:t>
      </w:r>
    </w:p>
    <w:p>
      <w:r>
        <w:t>a. A teneur de l'article 21 alinéa 1 LAT, les plans d'affectation ont force obligatoire pour chacun. A ce sujet, la doctrine a précisé que la force obligatoire valait tant pour les administrés que pour les autorités et qu'elle s'attachait également à la destination des locaux prévus dans le plan (A. MAUNOIR, op. cité p. 33).</w:t>
      </w:r>
    </w:p>
    <w:p>
      <w:r>
        <w:t>b. De même, les projets de construction concernant des parcelles comprises dans le périmètre d'un plan localisé de quartier doivent être conformes à celui-ci (art. 2 al. 6 LExt). Il en découle, selon la doctrine, que la décision d'autorisation de construire doit être conforme aux dispositions de la zone du PLQ et de son règlement (A. MAUNOIR, op. cité p. 53; RDAF 1988 n° 5, p. 336). A ce sujet, le tribunal de céans a déjà eu plusieurs fois l'occasion de préciser que "le PLQ définit de manière aussi précise et complète que possible tous les aspects contenus à l'intérieur du périmètre qu'il fixe" (ATA S.I. chemin K. du 8 mai 2001; B. du 14 novembre 2000; S.I. Villa L. du 26 avril 1994). En affectant aux activités administratives le bâtiment C, le PLQ a précisément réalisé la tâche qui lui était assignée.</w:t>
      </w:r>
    </w:p>
    <w:p>
      <w:r>
        <w:t>Dès lors, en refusant une autorisation de transformation au motif de l'affectation administrative des locaux concernés alors même que dite affectation est expressément prévue dans le PLQ, le DAEL a violé le principe de la force obligatoire et contraignante pour les autorités des affectations prévues dans le cadre d'un PLQ.</w:t>
      </w:r>
    </w:p>
    <w:p>
      <w:r>
        <w:t>A titre subsidiaire, l'argument du département selon lequel le PLQ ne saurait emporter un changement d'affectation de l'immeuble, car il serait contraire à l'autorisation conditionnelle de construire de 1986, doit être rejeté. De même, adopté après l'entrée en vigueur de la LDTR, on ne saurait aujourd'hui discuter de la conformité du PLQ avec cette dernière.</w:t>
      </w:r>
    </w:p>
    <w:p>
      <w:r>
        <w:t>De la violation des articles 7 et 8 LDTR :</w:t>
      </w:r>
    </w:p>
    <w:p>
      <w:r>
        <w:rPr>
          <w:b/>
        </w:rPr>
        <w:t>E. 6</w:t>
      </w:r>
    </w:p>
    <w:p>
      <w:r>
        <w:t>a. A teneur de l'article 7 LDTR, nul ne peut, sous réserve de l'octroi d'une dérogation au sens de l'article 8, changer l'affectation de tout ou partie d'un bâtiment au sens de l'article 2, alinéa 1, occupé ou inoccupé.</w:t>
      </w:r>
    </w:p>
    <w:p>
      <w:r>
        <w:t>b. A ce titre, l'article 8 LDTR précise qu'en cas de changement d'affectation, les surfaces de logements</w:t>
      </w:r>
    </w:p>
    <w:p>
      <w:r>
        <w:t>- 10 -</w:t>
      </w:r>
    </w:p>
    <w:p>
      <w:r>
        <w:t>supprimées seront compensées par la réaffectation simultanée de surfaces commerciales ou administratives en logement (al. 2).</w:t>
      </w:r>
    </w:p>
    <w:p>
      <w:r>
        <w:t>c. Enfin, à titre exceptionnel, le département peut toutefois renoncer à l'exigence d'une compensation, si le changement d'affectation vise la création ou l'extension d'équipements publics de proximité dont l'emplacement est imposé par sa destination, situés dans un secteur à forte densité d'habitation (art. 8 al. 3 LDTR).</w:t>
      </w:r>
    </w:p>
    <w:p>
      <w:r>
        <w:rPr>
          <w:b/>
        </w:rPr>
        <w:t>E. 7</w:t>
      </w:r>
    </w:p>
    <w:p>
      <w:r>
        <w:t>Le PLQ n° 28878 a été adopté après l'entrée en vigueur de la LDTR. Dans le cadre de son adoption et compte tenu du fait qu'il avait été décidé de maintenir l'affectation administrative de l'immeuble C, une compensation simultanée, au sens de l'article 8 LDTR, avait expressément été prévue par ledit PLQ. Ainsi, au sein du même périmètre, propriété des SIG et objet du PLQ, une surface de plusieurs milliers de m2 a été affectée au logement. Le Conseil d'Etat s'est ainsi assuré, lors de l'adoption du PLQ et de la longue procédure de consultation qui l'a précédée, de sa conformité avec les lois générales en vigueur, soit en particulier avec les exigences de la LDTR.</w:t>
      </w:r>
    </w:p>
    <w:p>
      <w:r>
        <w:t>Au vu de ce qui précède, le grief du département sera rejeté.</w:t>
      </w:r>
    </w:p>
    <w:p>
      <w:r>
        <w:t>De la violation du droit d'être entendu :</w:t>
      </w:r>
    </w:p>
    <w:p>
      <w:r>
        <w:rPr>
          <w:b/>
        </w:rPr>
        <w:t>E. 8</w:t>
      </w:r>
    </w:p>
    <w:p>
      <w:r>
        <w:t>a. A teneur de l'article 41 LPA, les parties ont le droit d'être entendues par l'autorité compétente avant que ne soit prise une décision. S'agissant plus particulièrement des institutions publiques, ce droit leur est garanti, en procédure contentieuse, lorsque leurs décisions sont entreprises par des citoyens (B. KNAPP, Précis de droit administratif, 4ème éd., p. 143).</w:t>
      </w:r>
    </w:p>
    <w:p>
      <w:r>
        <w:t>b. Par ailleurs, tel qu'il est garanti par l'art. 29 al. 2 de la Constitution fédérale de la Confédération suisse du 18 avril 1999 (Cst. féd. - RS 101), le droit d'être entendu implique pour l'autorité l'obligation de motiver sa décision (ATF 122 IV 8 consid. 2c p. 14/15).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w:t>
      </w:r>
    </w:p>
    <w:p>
      <w:r>
        <w:t>- 11 -</w:t>
      </w:r>
    </w:p>
    <w:p>
      <w:r>
        <w:t>soit tenue de répondre à tous les arguments avancés (SJ 1994 p. 161 consid. 1b p. 163; ATF 117 Ia 1 consid. 3a p. 3/4).</w:t>
      </w:r>
    </w:p>
    <w:p>
      <w:r>
        <w:t>En l'espèce, la commission n'avait donc pas, quoi qu'en pense le recourant, à examiner dans le détail et à discuter tous les moyens qu'il avait soulevés. Elle pouvait au contraire restreindre, comme elle l'a fait, son examen aux arguments qui lui paraissaient revêtir le plus de pertinence. Le grief est mal fondé.</w:t>
      </w:r>
    </w:p>
    <w:p>
      <w:r>
        <w:t>D'ailleurs, le département se contente d'invoquer une violation toute générale de son droit d'être entendu, sans préciser quels arguments, essentiels pour l'issue du litige, la commission aurait omis d'examiner.</w:t>
      </w:r>
    </w:p>
    <w:p>
      <w:r>
        <w:t>De la violation des règles de la bonne foi :</w:t>
      </w:r>
    </w:p>
    <w:p>
      <w:r>
        <w:rPr>
          <w:b/>
        </w:rPr>
        <w:t>E. 9</w:t>
      </w:r>
    </w:p>
    <w:p>
      <w:r>
        <w:t>Enfin, le recourant reproche aux intimés de contrevenir aux règles de la bonne foi en soutenant que l'immeuble litigieux serait doté d'une affectation commerciale.</w:t>
      </w:r>
    </w:p>
    <w:p>
      <w:r>
        <w:t>a. Le principe de la bonne foi qui doit imprégner les relations entre l'Etat et les citoyens (art. 5 al. 3 Cst.; ATF 126 II 97 consid. 4b p. 104/105) leur impose de se comporter l'un vis-à-vis de l'autre de manière loyale. Garanti également à l'article 9 Cst, ce principe confère au justiciable le droit d'être protégé dans la confiance qu'il place légitimement dans les assurances qu'il reçoit des autorités.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w:t>
      </w:r>
    </w:p>
    <w:p>
      <w:r>
        <w:t>b. Le respect de ce principe découle par ailleurs de l'article 49 alinéa 3 LPA qui dispose que, sous réserve d'un changement de loi, aucun désavantage ne peut résulter pour la partie du fait qu'elle agit en se fondant légitimement sur une décision de constatation. Cette règle vaut également en matière de plan et d'aménagement du territoire. Ainsi, les particuliers doivent pouvoir se référer aux plans existants, notamment lorsqu'ils souhaitent engager des travaux conformes à leur contenu. Plus un plan est contraignant pour un particulier, plus une certaine stabilité doit être assurée (A. MAUNOIR, op. cit. p. 41 et les références</w:t>
      </w:r>
    </w:p>
    <w:p>
      <w:r>
        <w:t>- 12 -</w:t>
      </w:r>
    </w:p>
    <w:p>
      <w:r>
        <w:t>citées).</w:t>
      </w:r>
    </w:p>
    <w:p>
      <w:r>
        <w:t>c. Dans la présente espèce, le PLQ n° 28878 destine expressément l'immeuble litigieux aux activités administratives de sorte que tout administré est protégé dans la bonne foi qu'il a pu lui accorder. Conforme au droit et ayant acquis l'autorité de chose jugée, celui-ci ne saurait aujourd'hui être remis en cause. Il ressort d'ailleurs des pièces versées à la procédure que de nombreux tiers, dont le Conseil d'Etat genevois, se sont fondés sur cette affectation administrative et ont pris des dispositions en conséquence.</w:t>
      </w:r>
    </w:p>
    <w:p>
      <w:r>
        <w:t>Quand bien même l'immeuble litigieux est inscrit au Registre foncier comme immeuble d'habitation, les intimés, dès lors qu'ils avaient connaissance de faits qui ne ressortaient pas dudit registre ou même le contredisaient, n'avaient pas à s'y fier (ATF 82 II 103).</w:t>
      </w:r>
    </w:p>
    <w:p>
      <w:r>
        <w:rPr>
          <w:b/>
        </w:rPr>
        <w:t>E. 10</w:t>
      </w:r>
    </w:p>
    <w:p>
      <w:r>
        <w:t>En tout point mal fondé, le recours sera rejeté. Une indemnité de procédure de CHF 1'500.- sera allouée aux intimés, à la charge de l'Etat. Il ne sera pas perçu d'émolument vu la qualité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