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ATA/68/2018 vom 23. Januar 2018</w:t>
      </w:r>
    </w:p>
    <w:p>
      <w:r>
        <w:t>GE Cour de justice, 2018-01-23, FR</w:t>
      </w:r>
    </w:p>
    <w:p>
      <w:r>
        <w:rPr>
          <w:b/>
        </w:rPr>
        <w:t xml:space="preserve">Quelle: </w:t>
      </w:r>
      <w:r>
        <w:t>https://mcp.opencaselaw.ch/entscheid/ge_gerichte_ATA_68_2018</w:t>
      </w:r>
    </w:p>
    <w:p>
      <w:r>
        <w:t>FR: GE_GERICHTE ATA/68/2018 du 23 janvier 2018</w:t>
      </w:r>
    </w:p>
    <w:p>
      <w:r>
        <w:t>IT: GE_GERICHTE ATA/68/2018 del 23 gennaio 2018</w:t>
      </w:r>
    </w:p>
    <w:p>
      <w:pPr>
        <w:pStyle w:val="Heading2"/>
      </w:pPr>
      <w:r>
        <w:t>Erwägungen</w:t>
      </w:r>
    </w:p>
    <w:p>
      <w:r>
        <w:rPr>
          <w:b/>
        </w:rPr>
        <w:t>E. 26</w:t>
      </w:r>
    </w:p>
    <w:p>
      <w:r>
        <w:t>septembre 2010 - LOJ - E 2 05 ; art. 62 al. 1 let. a de la loi sur la procédure administrative du 12 septembre 1985 - LPA - E 5 10).</w:t>
      </w:r>
    </w:p>
    <w:p>
      <w:r>
        <w:t>Les conclusions du recourant portent, en dernier lieu, uniquement sur la durée du retrait d’admonestation, les autres conclusions étant devenues sans objet ou ayant été retirées. 2)</w:t>
      </w:r>
    </w:p>
    <w:p>
      <w:r>
        <w:t>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3)</w:t>
      </w:r>
    </w:p>
    <w:p>
      <w:r>
        <w:t>Dans un premier grief de nature formelle, le recourant se plaint de la violation de son droit d’être entendu. Certaines pièces sur lesquelles le SCV s’était fondé ne figuraient pas au dossier, de sorte qu’il n’avait pas pu se déterminer en connaissance de cause. a. Tel qu’il est garanti par l'art. 29 al. 2 de la Constitution fédérale de la Confédération suisse du 18 avril 1999 (Cst. - RS 101), le droit d’être entendu comprend, notamment, le droit pour les parties d’avoir accès au dossier et de se déterminer à son propos (ATF 142 II 218 consid. 2.3 ; arrêt du Tribunal fédéral 2C_656/2016 du 9 février 2017 consid. 3.2). La réparation du droit d'être entendu, dans la procédure de recours, n'est possible que lorsque l'autorité de recours dispose du même pouvoir d'examen que l'autorité inférieure (ATF 138 I 97 consid. 4.1.6.1 ; 137 I 195 consid. 2.3.2 ; arrêt du Tribunal fédéral 2C_780/2016 du 6 février 2017 consid. 3.3) et pour autant que l'atteinte portée au droit d'être entendu n’est pas particulièrement grave (ATF 142 II 218 consid. 2.8.1 ; 126 I 68 consid. 2 ; arrêt du Tribunal fédéral 2C_780/2016 du 6 février 2017 consid. 3.1). b. En l’espèce, l’autorité intimée a laissé l’occasion au recourant de s’exprimer avant qu’elle ne rende sa décision. Il était loisible au recourant de venir consulter le dossier dans le délai qui lui était imparti et de se déterminer ensuite sur les reproches qui lui étaient adressés. Or, le recourant n’a pas saisi ces occasions d’exercer son droit d’être entendu. Il ne soutient nullement que l’accès au dossier lui aurait été refusé. Au contraire, malgré plusieurs invitations du SCV à se déterminer sur les faits reprochés, il ne s’est à aucun moment manifesté auprès de celui-ci. En tant que le grief de violation du droit d’être entendu est adressé au SCV, il est donc mal fondé.</w:t>
      </w:r>
    </w:p>
    <w:p>
      <w:r>
        <w:t>- 11/16 - A/3835/2016</w:t>
      </w:r>
    </w:p>
    <w:p>
      <w:r>
        <w:t>Au cours de la procédure de recours devant la chambre de céans, le SCV a produit l’ensemble du dossier, notamment les pièces réclamées par le recourant, que celui-ci a ensuite pu consulter. Par ailleurs, le recourant a pu faire valoir ses observations et arguments lors de l’audience de comparution personnelle qui s’est tenue devant la chambre administrative, dont le pouvoir d’examen est le même que celui du TAPI. Partant, pour autant qu’il faille admettre l’existence d’une violation du droit d’être entendu par ce dernier, celle-ci a été réparée dans la présente procédure de recours.</w:t>
      </w:r>
    </w:p>
    <w:p>
      <w:r>
        <w:t>Le grief de violation du droit d’être entendu est donc mal fondé. 4)</w:t>
      </w:r>
    </w:p>
    <w:p>
      <w:r>
        <w:t>Dans son second grief, le recourant fait valoir la violation du principe de la proportionnalité et de la liberté économique. La durée du retrait ne tenait pas compte de sa longue carrière professionnelle, qui avait commencé en 1987. La qualité de son enseignement n’avait jamais été critiquée. Le manque de diligence administrative qui lui était reproché ne saurait justifier la lourdeur de la sanction. Il n’entendait pas recréer une structure telle que B______, qui était en faillite. Il souhaitait uniquement pouvoir encore exercer quelques années la profession qu’il avait exercée toute sa vie.</w:t>
      </w:r>
    </w:p>
    <w:p>
      <w:r>
        <w:t>a.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128 119 consid. 4c/aa).</w:t>
      </w:r>
    </w:p>
    <w:p>
      <w:r>
        <w:t>Aux termes de l’art. 36 Cst., toute restriction d’un droit fondamental doit être fondée sur une base légale, les restrictions graves doivent être prévues par une loi (al. 1). Toute restriction d’un droit fondamental doit être justifiée par un intérêt public ou par la protection d’un droit fondamental d’autrui (al. 2) et proportionnée au but visé (al. 3).</w:t>
      </w:r>
    </w:p>
    <w:p>
      <w:r>
        <w:t>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- 12/16 - A/3835/2016</w:t>
      </w:r>
    </w:p>
    <w:p>
      <w:r>
        <w:t>b. L'excès et l'abus du pouvoir d'appréciation constituent des violations du droit, qui peuvent être revues par les autorités de recours. Une autorité judiciaire de recours qui contrôle la conformité au droit d'une décision vérifiera si l'administration a, dans l'exercice du pouvoir d'appréciation que lui confère la loi, respecté le principe de la proportionnalité, mais s'abstiendra d'examiner si les choix faits à l'intérieur de la marge de manœuvre laissée par ces principes sont « opportuns » ou non (Benoît BOVAY, Procédure administrative, 2015, p. 569 ; Thierry TANQUEREL, Manuel de droit administratif, 2011, p. 174-175 n. 524).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566).</w:t>
      </w:r>
    </w:p>
    <w:p>
      <w:r>
        <w:t>c. Selon l'art. 26 al. 2 OMCo, si le moniteur de conduite n'observe pas les prescriptions relatives à l'exercice de sa profession (art. 8 à 16) ou celles relatives à la formation à la conduite conformément à l'OAC, l'autorité cantonale prononce, notamment, un avertissement dans les cas sans gravité (let. a ch. 1) ou le retrait de l'autorisation d'enseigner la conduite pour une durée déterminée (let. b) dans les cas graves (ch. 1) ou dans les cas sans gravité, lorsque l'autorisation d'enseigner la conduite a été retirée au cours des deux années précédentes ou qu'une autre mesure selon le présent article a été prononcée (ch. 2). Le moniteur de conduite qui s'est vu retirer le permis de conduire n'a pas le droit de dispenser de cours de conduite pratique ou d'accompagner des stagiaires en formation pendant la durée du retrait (art. 28 OMCo). 5)</w:t>
      </w:r>
    </w:p>
    <w:p>
      <w:r>
        <w:t>En l’espèce, il convient en premier lieu de déterminer les manquements qui peuvent être retenus à l’encontre du recourant. Ce n’est qu’au regard de ceux-ci que le respect du principe de la proportionnalité de la mesure administrative pourra être examiné.</w:t>
      </w:r>
    </w:p>
    <w:p>
      <w:r>
        <w:t>a. Le recourant a reconnu lors de l’audience du 18 septembre 2017 que les candidats-moniteurs G______ et I______ avaient dispensé des cours de sensibilisation et des cours pratiques sans remplir les conditions les y légitimant. Il a également reconnu que M. D______ avait donné des cours à des futurs motocyclistes alors qu’il n’était pas moniteur de moto-école. En tant que directeur de B______, il lui appartenait de veiller à ce que les employés de B______ se conforment aux prescriptions légales régissant la formation des élèves- conducteurs. En ne s’assurant pas que tel soit le cas, il a contrevenu aux art. 15 al. 2 et 3 de la loi fédérale sur la circulation routière du 19 décembre 1958 (LCR - RS 741.01) prévoyant que quiconque dispense professionnellement des cours de conduite doit être titulaire d’une autorisation d’enseigner la conduite et veiller à ce que la course se fasse en toute sécurité.</w:t>
      </w:r>
    </w:p>
    <w:p>
      <w:r>
        <w:t>Le recourant n’a pas non plus contesté que plusieurs détenteurs de permis d’élève-conducteur n'avaient pas reçu leur attestation de suivi de cours de</w:t>
      </w:r>
    </w:p>
    <w:p>
      <w:r>
        <w:t>- 13/16 - A/3835/2016 sensibilisation ou de cours pratique de bas ; il ne s’expliquait pas l’absence de ces attestations. Il n’a cependant pas donné suite à la demande du SCV de fournir ces attestations et de produire les cartes de formation qu’il devait tenir pour chaque élève. L’absence de production de ces cartes ne permet pas d’autre conclusion que le fait que celles-ci n’existaient pas. L’obligation de délivrer les attestations précitées est prescrite aux art. 18 al. 5 et 19 al. 4 OAC. Elle implique également de tenir une carte de formation pour chaque élève sur laquelle sont indiquées les leçons théoriques et pratiques dispensées (art. 15 et 16 OMCo). Le recourant ne s’est pas conformé à ces prescriptions non plus.</w:t>
      </w:r>
    </w:p>
    <w:p>
      <w:r>
        <w:t>Par ailleurs, le recourant n’a pas non plus contesté qu’il avait convoqué des élèves-conducteurs pour des cours prévus sur le terrain de Viry, alors que ce dernier n’était pas homologué, et qu’il n’avait pas prévenu ceux-ci que le cours ne pouvait finalement pas y être dispensé, de sorte que les élèves s’étaient déplacés en vain. Il n’a enfin pas contesté que environ cent élèves-conducteurs n’avaient pas pu suivre les cours qu’ils avaient déjà payés, expliquant qu’à la suite de la parution, le 10 mai 2016, de l’article dans « E______», l’ambiance dans la salle de cours était devenue « électrique », rendant impossible la poursuite des cours. Les élèves n’ont cependant pas été remboursés. Selon le recourant, ils détenaient des créances d’au total CHF 50'000.- en remboursement de prestations non perçues. Ces deux derniers manquements dénotent une mauvaise gestion des aspects administratifs liés à l’exploitation d’une auto-école et contreviennent à l’obligation du titulaire de l’autorisation d’enseigner la conduite « de présenter les garanties d’un exercice irréprochable de la profession de moniteur de conduite » (art. 5 al. 1 let. d OMCo).</w:t>
      </w:r>
    </w:p>
    <w:p>
      <w:r>
        <w:t>b. Au vu des manquements susmentionnés, il convient d’examiner si la mesure prononcée respecte le principe de la proportionnalité.</w:t>
      </w:r>
    </w:p>
    <w:p>
      <w:r>
        <w:t>Le fait d’avoir laissé des moniteurs, qui n’y étaient pas habilités, donner des cours de sensibilisation et des cours pratique de base de moto constitue un manquement grave. Il porte lourdement atteinte à l'essence même du rôle et des responsabilités incombant à un moniteur de conduite. L’intérêt public à ce que seules les personnes dûment formées et autorisées dispensent de tels cours est manifeste et important. Il s’agit, en effet, d’assurer la sécurité routière de l’ensemble des usagers de la route. En tolérant que des enseignants qui n’y étaient pas habilités ainsi qu’en s’abstenant de vérifier que seules des personnes habilitées à le faire dispensent des cours menant à l’obtention du permis de conduire, le recourant a montré un mépris important des prescriptions régissant l’activité d’enseignement de la conduite.</w:t>
      </w:r>
    </w:p>
    <w:p>
      <w:r>
        <w:t>À cela vient s’ajouter que le recourant n’a pas davantage veillé à ce que la carte de formation des élèves-conducteurs soit tenue à jour, ni à ce que les attestations de cours soient immédiatement délivrées, malgré les obligations que la loi lui impose à cet égard. Ces documents attestent du suivi des cours prescrits en</w:t>
      </w:r>
    </w:p>
    <w:p>
      <w:r>
        <w:t>- 14/16 - A/3835/2016 vue de l’obtention du permis de conduire. Ils constituent des documents auxquels les autorités accordent une foi accrue. L’absence d’établissement de ces documents représente ainsi également un manquement important aux obligations professionnelles du recourant.</w:t>
      </w:r>
    </w:p>
    <w:p>
      <w:r>
        <w:t>En outre et comme évoqué plus haut, la mauvaise gestion de l’école dont a fait preuve le recourant, en convoquant des élèves à un lieu sans savoir s’il disposerait à temps de l’autorisation nécessaire pour y dispenser des cours et en ne remboursant pas des cours qui n’avaient pas pu être donnés, ne permet pas de retenir qu’il présente toutes les garanties d’un exercice irréprochable de la profession de moniteur de conduite.</w:t>
      </w:r>
    </w:p>
    <w:p>
      <w:r>
        <w:t>Les antécédents du recourant ne sont pas favorables, celui-ci ayant fait l’objet d’avertissements respectivement en janvier 2013 et en juin 2014 et d’une décision de retrait de l’autorisation pour animateur de cours de formation complémentaire en mars 2016.</w:t>
      </w:r>
    </w:p>
    <w:p>
      <w:r>
        <w:t>Le SCV a pris en considération l’ensemble de ces éléments, qui sont tous pertinents, objectifs et sérieux. Il ne s’est pas laissé guider par des éléments étrangers au but des prescriptions relatives à la formation à la conduite.</w:t>
      </w:r>
    </w:p>
    <w:p>
      <w:r>
        <w:t>La manière dont le recourant a lui-même dispensé les cours n’a, certes, pas fait l’objet de critiques de la part de l’intimé. Cela étant, l’obligation de tenir une carte de formation, d’attester des suivis de cours, d’organiser correctement les cours et d’honorer les prestations de formation promises se rapporte également à la qualité de l’enseignement, qui, sur ces points, a présenté d’importantes défaillances.</w:t>
      </w:r>
    </w:p>
    <w:p>
      <w:r>
        <w:t>Par ailleurs, la décision querellée n’empêche pas le recourant d’exercer toute activité professionnelle, mais uniquement celle de moniteur de conduite. S’il est indéniable que cette décision est susceptible d’entraîner des conséquences économiques importantes pour le recourant, il convient de relever avec le TAPI que celles-ci sont inhérentes à une telle décision, d’une part, et que, d’autre part, elles sont dues à la situation créée par les manquements du recourant, qu’il n’a, malgré plusieurs rappels du SCV l’y invitant, pas palliés.</w:t>
      </w:r>
    </w:p>
    <w:p>
      <w:r>
        <w:t>Enfin, la durée de deux ans de retrait est de nature à atteindre le but recherché, qui, au vu des manquements imputables au recourant, tend à empêcher celui-ci, pour des motifs d'intérêts publics importants, au vu notamment des responsabilités qui sont confiées à un moniteur de conduite, et de la confiance que l'autorité place en lui, à enseigner la conduite durant une période significative. La mesure querellée respecte, partant, le principe de la proportionnalité.</w:t>
      </w:r>
    </w:p>
    <w:p>
      <w:r>
        <w:t>Au vu de l’ensemble de ce qui précède, le SCV, qui s’est fondé sur des considérations pertinentes, objectives et sérieuses, n’a pas abusé du pouvoir</w:t>
      </w:r>
    </w:p>
    <w:p>
      <w:r>
        <w:t>- 15/16 - A/3835/2016 d'appréciation que lui confère l’art. 26 al. 2 let. b OMCo quant à la durée de la mesure de retrait. Cette mesure est, en effet, apte et nécessaire à atteindre les buts visés par la réglementation relative aux personnes habilitées à enseigner la conduite, notamment celui de s’assurer que seules les personnes se conformant à ladite règlementation soient admises à l’enseignement à titre professionnel de la conduite automobile. 6)</w:t>
      </w:r>
    </w:p>
    <w:p>
      <w:r>
        <w:t>Vu l’issue du litige, un émolument de CHF 500.-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