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ATA/689/2025 vom 24. Juni 2025</w:t>
      </w:r>
    </w:p>
    <w:p>
      <w:r>
        <w:t>GE Cour de justice, 2025-06-24, FR</w:t>
      </w:r>
    </w:p>
    <w:p>
      <w:r>
        <w:rPr>
          <w:b/>
        </w:rPr>
        <w:t xml:space="preserve">Quelle: </w:t>
      </w:r>
      <w:r>
        <w:t>https://mcp.opencaselaw.ch/entscheid/ge_gerichte_ATA_689_2025</w:t>
      </w:r>
    </w:p>
    <w:p>
      <w:r>
        <w:t>FR: GE_GERICHTE ATA/689/2025 du 24 juin 2025</w:t>
      </w:r>
    </w:p>
    <w:p>
      <w:r>
        <w:t>IT: GE_GERICHTE ATA/689/2025 del 24 giugno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Les parties ont présenté des demandes d'administration de preuves, sollicitant l'audition de témoins et l'apport de pièces.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142 II 218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Le droit d'être</w:t>
      </w:r>
    </w:p>
    <w:p>
      <w:r>
        <w:t>- 15/23 - A/2022/2024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w:t>
      </w:r>
    </w:p>
    <w:p>
      <w:r>
        <w:rPr>
          <w:b/>
        </w:rPr>
        <w:t>E. 2.2</w:t>
      </w:r>
    </w:p>
    <w:p>
      <w:r>
        <w:t>En l'espèce, la chambre de céans a donné suite à plusieurs demandes d'administration de preuves puisqu'elle a ordonné la comparution personnelle des parties et entendu K______, L______ et S______, étant précisé qu'elle a aussi convoqué I______, qui sans valablement s'excuser a clairement fait comprendre qu'elle ne déférerait pas aux convocations de la chambre de céans. Les demandes visant ces objets sont dès lors devenues sans objet. Pour le surplus, l'audition des autres témoins et la production des pièces demandées n'apparaît pas nécessaire à la résolution du litige, vu d'une part son objet, à savoir une résiliation des rapports de travail pendant la période d'essai, mais aussi et surtout du fait que les nombreuses pièces au dossier et les auditions résumées ci-dessus permettent de se faire une idée claire et complète du déroulement des faits pertinents. La chambre de céans est ainsi en mesure de juger la présente cause sans donner suite aux autres demandes d'actes d'instruction, qui seront en conséquence refusées.</w:t>
      </w:r>
    </w:p>
    <w:p>
      <w:r>
        <w:rPr>
          <w:b/>
        </w:rPr>
        <w:t>E. 3</w:t>
      </w:r>
    </w:p>
    <w:p>
      <w:r>
        <w:t>La ville demande que la pièce n° 45 du recourant soit retranchée du dossier.</w:t>
      </w:r>
    </w:p>
    <w:p>
      <w:r>
        <w:rPr>
          <w:b/>
        </w:rPr>
        <w:t>E. 3.1</w:t>
      </w:r>
    </w:p>
    <w:p>
      <w:r>
        <w:t>La question de savoir quels sont les moyens de preuve admis en procédure administrative est régie, devant les autorités cantonales, par le droit cantonal, sous réserve de dispositions de droit fédéral (ATF 139 II 7 consid. 5). La LPA ne règle pas le sort des preuves obtenues illégalement. Pour la doctrine, la problématique doit être traitée en relation avec le principe du procès équitable inscrit à l’art. 29 al. 1 Cst. et 6 § 1 la Convention de sauvegarde des droits de l’homme et des libertés fondamentales du 4 novembre 1950 (CEDH - RS 0.101). Selon certains auteurs, les preuves obtenues par des moyens illégaux ne peuvent être utilisées que si elles auraient pu être recueillies d’une façon légale ou si un intérêt public important le justifie (Benoît BOVAY, Procédure administrative, 2e éd., 2015, p. 239 ; Pierre MOOR/Etienne POLTIER, Droit administratif, vol. 2, 3e éd., 2011, p. 297 ; ATA/583/2022 du 31 mai 2022 consid. 4a ; ATA/576/2014 du 29 juillet 2014 consid. 6a).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Verwaltungsverfahren, 2008, ad art. 12 PA). D’autres, enfin, plaident pour une application analogique des règles très détaillées contenues à l’art. 141 du code de procédure pénale suisse du 5 octobre 2007 (CPP - RS 312.0), lesquelles seraient l’expression du procès équitable selon l’art. 29 al. 1 Cst. (voir les références doctrinales citées au consid. 3.1 de l’ATF 139 II 95). En procédure civile, le législateur n’a pas renvoyé au système prévu pour la procédure pénale,</w:t>
      </w:r>
    </w:p>
    <w:p>
      <w:r>
        <w:t>- 16/23 - A/2022/2024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 S’agissant du Tribunal fédéral, il déduit du droit à un procès équitable l’interdiction de principe d’utiliser des preuves acquises illicitement (ATF 139 II 7 résumé in SJ 2013 I 179 ; ATF 136 V 117 consid. 4.2.2). L’exclusion de tels moyens n’est toutefois pas absolue, le juge devant opérer une pesée des intérêts en présence (ATF 131 I 272 consid. 4). Ces règles sont également applicables aux procédures régies par la maxime inquisitoire, telle la présente procédure (art. 19 LPA, qui parle à tort de maxime d'office). L’utilisation de moyens de preuves acquis en violation de la sphère privée ne doit en outre être admise qu’avec une grande réserve (ATF 139 II 7, résumé in SJ 2013 I 179 ; ATF 120 V 435 consid. 3b ; ATA/576/2014 précité consid. 6b).</w:t>
      </w:r>
    </w:p>
    <w:p>
      <w:r>
        <w:rPr>
          <w:b/>
        </w:rPr>
        <w:t>E. 3.2</w:t>
      </w:r>
    </w:p>
    <w:p>
      <w:r>
        <w:t>En l'espèce, il apparaît probable que la pièce en cause ait été transmise au recourant par le biais d'une violation du secret de fonction – le recourant prétend certes le contraire, tout en s'abstenant de donner la moindre précision sur le mode d'obtention du document. De plus, son utilité pour la manifestation de la vérité est très limitée, puisqu'elle correspond pour l'essentiel aux déclarations d'K______ résumées dans la partie en fait du présent arrêt. Il découle de cette pesée d'intérêts que la pièce en cause doit être retranchée du dossier, ce qui sera constaté dans le dispositif du présent arrêt.</w:t>
      </w:r>
    </w:p>
    <w:p>
      <w:r>
        <w:rPr>
          <w:b/>
        </w:rPr>
        <w:t>E. 4</w:t>
      </w:r>
    </w:p>
    <w:p>
      <w:r>
        <w:t>Bien que le recourant n'ait abordé la question de son droit d'être entendu que dans la procédure non contentieuse et n'en fasse pas un grief spécifique dans ses écritures – l'intimée y a néanmoins consacré plusieurs développements dans les siennes – devant la chambre de céans, cette dernière doit examiner le droit d'office.</w:t>
      </w:r>
    </w:p>
    <w:p>
      <w:r>
        <w:rPr>
          <w:b/>
        </w:rPr>
        <w:t>E. 4.1</w:t>
      </w:r>
    </w:p>
    <w:p>
      <w:r>
        <w:t>Le droit d'être entendu, garanti à l'art. 29 al. 2 Cst., comprend notamment le droit pour l'intéressé de s'exprimer sur les éléments pertinents avant qu'une décision soit prise touchant sa situation juridique (ATF 145 I 73 consid. 7.2.2.1 et les arrêts cités ; 135 I 279 consid. 2.3). La procédure administrative genevoise exige donc de l'autorité qu'elle entende les parties avant de prendre une décision (art. 41 LPA). En tant que droit de participation, le droit d’être entendu englobe donc tous les droits qui doivent être attribués à une partie pour qu’elle puisse faire valoir efficacement son point de vue dans une procédure (ATF 148 II 73 consid. 7.3.1 ; 132 II 485 consid. 3.2 ; 129 II 497 consid. 2.2). Cependant, l'autorité, soit aussi bien les autorités administratives que les juridictions administratives (art. 1 al. 2 LPA), n'est pas tenue d'entendre les parties avant de rendre des décisions lorsqu'il y a péril en la demeure (art. 43 let. d LPA). En matière de rapports de travail de droit public, la jurisprudence admet que des occasions relativement informelles de s'exprimer avant le licenciement peuvent remplir les exigences du droit constitutionnel d'être entendu, pour autant que la</w:t>
      </w:r>
    </w:p>
    <w:p>
      <w:r>
        <w:t>- 17/23 - A/2022/2024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et les arrêts cités). Il n'est pas admissible, sous l'angle du droit d'être entendu, de remettre à l'employé une décision de résiliation des rapports de service en se contentant de lui demander de s'exprimer s'il le désire (arrêt du Tribunal fédéral 8C_541/2017 du 14 mai 2018 consid. 2.2 et les arrêts cités).</w:t>
      </w:r>
    </w:p>
    <w:p>
      <w:r>
        <w:rPr>
          <w:b/>
        </w:rPr>
        <w:t>E. 4.2</w:t>
      </w:r>
    </w:p>
    <w:p>
      <w:r>
        <w:t>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w:t>
      </w:r>
    </w:p>
    <w:p>
      <w:r>
        <w:rPr>
          <w:b/>
        </w:rPr>
        <w:t>E. 4.3</w:t>
      </w:r>
    </w:p>
    <w:p>
      <w:r>
        <w:t>En l'espèce, l'intimée a suivi la procédure en matière de droit d'être entendu à partir du 18 avril 2024, puisqu'à cette date le CA a écrit au recourant pour l'informer de son intention de résilier son engagement, en lui permettant de rencontrer une délégation du CA et en lui impartissant un délai pour se déterminer. Il a ensuite rendu la décision attaquée le 16 mai 2024. Cela étant, le communiqué de presse diffusé le 9 avril 2024 contient les passages suivants : « le CA s’est réuni en séance extraordinaire le 8 avril dernier. À l’issue de celle-ci, il a pris les mesures et décisions suivantes à l’unanimité de ses membres. (…) S’agissant des engagements controversés, le CA décide qu’il sera mis fin à la collaboration avec les personnes concernées ». Il est donc patent que le CA avait pris la décision de mettre un terme aux rapports de service du recourant le</w:t>
      </w:r>
    </w:p>
    <w:p>
      <w:r>
        <w:rPr>
          <w:b/>
        </w:rPr>
        <w:t>E. 8</w:t>
      </w:r>
    </w:p>
    <w:p>
      <w:r>
        <w:t>En l'espèce, le licenciement est intervenu alors que le recourant venait d'entamer sa période d'essai de deux ans, si bien que l'art. 34 SPVG ne trouve pas à s'appliquer. Il résulte de l'ensemble du dossier que plusieurs des reproches faits au recourant par l'intimée ne sont pas fondés. Il apparaît ainsi que le domicile F______ du recourant était connu du comité d'évaluation et que le recourant a respecté les règles de l'intimée sur la domiciliation, qui donnent six mois à l'employé pour se domicilier dans la zone prévue à et autour de Genève. Il n'est pas établi que le recourant ait eu avec I______ des liens qui dépasseraient en intensité ceux qu'il a décrits, quand bien même la précitée semblait très encline à permettre l'engagement du recourant. Enfin, quand bien même la période où le recourant a effectivement travaillé pour l'intimée est extrêmement courte, il a donné satisfaction à sa hiérarchie directe. Les deux points sur lesquels le recourant a fait preuve d'un certain manque de transparence ont été d'indiquer une adresse genevoise dans sa postulation – ce qui n'a toutefois, on l'a vu, pas eu de conséquence dès lors que dès le début du processus d'engagement, le comité de sélection était au courant de son domicile F______ – et de ne pas mentionner, malgré une question générale sur ce point, le fait qu'il était le compagnon d'une collaboratrice du C______, fût-elle auxiliaire. Ce point a néanmoins été aplani par sa future supérieure hiérarchique, L______, avant son engagement, si bien qu'il peut aussi être en partie relativisé. Cela étant, il convient de ne pas perdre de vue qu'il ne s'agit pas d'examiner s'il existait une faute du recourant ou un motif fondé de licenciement, mais uniquement de savoir si la continuation du rapport de service s'est heurtée à des difficultés objectives ou n'apparaissait pas souhaitable pour une raison ou une autre, quelle qu'elle soit pourvu qu'elle ne soit pas discriminatoire. À cet égard, le recourant ne peut être suivi lorsqu'il prétend que le véritable motif de son licenciement serait sa nationalité française ou son origine F______, la raison ayant poussé le CA à agir comme il l'a fait étant une question de régularité d'une série d'engagements au sein de la ville.</w:t>
      </w:r>
    </w:p>
    <w:p>
      <w:r>
        <w:t>- 21/23 - A/2022/2024 S'agissant plus particulièrement du recrutement du recourant, qui seul est en cause dans la présente procédure, il apparaît que I______ n'aurait pas dû participer à ce processus du recrutement. S'il est permis aux cadres de l'administration de faire appel à leur réseau pour pourvoir un poste et ainsi de répercuter à une personne de leur connaissance une offre d'emploi, il est évident qu'ils ne le feront que s'ils considèrent que la personne a les compétences requises et qu'ils pourraient répondre personnellement du candidat, si bien que leur objectivité lors du processus de recrutement n'est plus garantie. L'instruction de la cause a du reste démontré qu'à l'issue du processus de recrutement, trois des quatre membres du comité de sélection préféraient la seconde candidature, et que c'est I______ qui a réussi à les rallier, non sans user de quelque pression en indiquant qu'elle voulait engager le recourant et qu'un avis contraire eût dû faire reprendre le processus d'engagement ab ovo. Il apparaît ainsi que le CA était en droit de considérer que la continuation des rapports de service n'apparaissait pas souhaitable en raison de la manière dont le processus de recrutement avait été mené, ce quand bien même les prestations du recourant n'étaient nullement en cause et que ce dernier n'avait lui-même fait preuve de manque de transparence que de manière marginale. Les considérants qui précèdent conduisent au rejet du grief.</w:t>
      </w:r>
    </w:p>
    <w:p>
      <w:r>
        <w:rPr>
          <w:b/>
        </w:rPr>
        <w:t>E. 9</w:t>
      </w:r>
    </w:p>
    <w:p>
      <w:r>
        <w:t>Il convient enfin de déterminer quelles sont les conséquences de la contrariété au droit du licenciement, laquelle se limite à la violation du droit d'être entendu du recourant.</w:t>
      </w:r>
    </w:p>
    <w:p>
      <w:r>
        <w:rPr>
          <w:b/>
        </w:rPr>
        <w:t>E. 9.1</w:t>
      </w:r>
    </w:p>
    <w:p>
      <w:r>
        <w:t>Si la chambre administrative retient qu'un licenciement est contraire au droit, il peut proposer au CA la réintégration de la personne intéressée ; d'un commun accord, les parties peuvent convenir d'un transfert de la personne intéressée dans un poste similaire (art. 105 al. 1 SPVG). En cas de refus du CA, la chambre administrative alloue à la personne intéressée une indemnité dont le montant ne peut être inférieur à trois mois et supérieur à vingt-quatre mois du dernier traitement brut (art. 105 al. 2 SPVG).</w:t>
      </w:r>
    </w:p>
    <w:p>
      <w:r>
        <w:rPr>
          <w:b/>
        </w:rPr>
        <w:t>E. 9.2</w:t>
      </w:r>
    </w:p>
    <w:p>
      <w:r>
        <w:t>En lieu et place de la réintégration, la personne intéressée peut demander le versement d'une indemnité. La chambre administrative alloue à la personne intéressée une indemnité dont le montant se calcule comme suit : a) en cas de licenciement immédiat sans juste motif (art. 30 SPVG), l'indemnité s'élève au montant que la personne intéressée aurait gagné si les rapports de service avaient pris fin à l'échéance du délai de congé ou de la durée déterminée fixée dans le contrat ; b) dans les autres cas, y compris en cas de licenciement abusif, l'indemnité s'élève à un montant qui ne peut être inférieur à trois mois et supérieur à douze mois du dernier traitement brut (art. 105 al. 3 SPVG).</w:t>
      </w:r>
    </w:p>
    <w:p>
      <w:r>
        <w:rPr>
          <w:b/>
        </w:rPr>
        <w:t>E. 10</w:t>
      </w:r>
    </w:p>
    <w:p>
      <w:r>
        <w:t>En dérogation à l'art. 105 SPVG, lorsque le licenciement contraire au droit est également abusif au sens de l'art. 336 CO ou des art. 3 ou 10 de la loi fédérale sur l’égalité entre femmes et hommes du 24 mars 1995 (loi sur l’égalité, LEg -</w:t>
      </w:r>
    </w:p>
    <w:p>
      <w:r>
        <w:t>- 22/23 - A/2022/2024 RS 151.1) ou sans juste motif au sens de l'art. 30 SPVG, la chambre administrative annule le licenciement et ordonne la réintégration de la personne intéressée.</w:t>
      </w:r>
    </w:p>
    <w:p>
      <w:r>
        <w:rPr>
          <w:b/>
        </w:rPr>
        <w:t>E. 10.1</w:t>
      </w:r>
    </w:p>
    <w:p>
      <w:r>
        <w:t>En l'espèce, l'intimée a d'ores et déjà exclu une réintégration, ce que le recourant semble également avoir fait dans sa dernière écriture en concluant exclusivement à une indemnité égale à douze mois de traitement. Enfin, une réintégration apparaît également exclue du fait que le recourant et sa compagne ont regagné l'Île-de-France. Il y a donc lieu de fixer une indemnité conformément à l'art. 105 al. 3 let. b SPVG. Dans la mesure d'une part où le recourant se trouvait dans le premier mois de sa période d'essai au moment du licenciement et que, d'autre part, la contrariété au droit du licenciement porte exclusivement sur une question formelle, le licenciement étant en soi conforme au droit, il se justifie de fixer à trois mois du dernier traitement brut, treizième salaire compris, à l’exclusion de tout autre élément de rémunération, l'indemnité due au recourant, soit le minimum prévu par l'art. 105 al. 3 let. b SPVG. Ce dernier y ayant conclu, il y a lieu également de condamner l'intimé au versement d'intérêts moratoires au taux légal de 5%, à partir du 1er jour suivant la fin des rapports de travail. Au vu de ce qui précède, le recours sera partiellement admis.</w:t>
      </w:r>
    </w:p>
    <w:p>
      <w:r>
        <w:rPr>
          <w:b/>
        </w:rPr>
        <w:t>E. 11</w:t>
      </w:r>
    </w:p>
    <w:p>
      <w:r>
        <w:t>Vu l'issue du litige, un émolument – réduit – de CHF 500.- sera mis à la charge du recourant, qui succombe en partie (art. 87 al. 1 LPA), et une indemnité de CHF 1'000.- lui sera allouée (art. 87 al. 2 LPA), étant rappelé qu'il n'a pas soulevé le grief qui lui vaut partiellement gain de cause. Compte tenu des conclusions du recours et du dispositif du présent arrêt,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