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ATA/689/2013 vom 15. Oktober 2013</w:t>
      </w:r>
    </w:p>
    <w:p>
      <w:r>
        <w:t>GE Cour de justice, 2013-10-15, FR</w:t>
      </w:r>
    </w:p>
    <w:p>
      <w:r>
        <w:rPr>
          <w:b/>
        </w:rPr>
        <w:t xml:space="preserve">Quelle: </w:t>
      </w:r>
      <w:r>
        <w:t>https://mcp.opencaselaw.ch/entscheid/ge_gerichte_ATA_689_2013</w:t>
      </w:r>
    </w:p>
    <w:p>
      <w:r>
        <w:t>FR: GE_GERICHTE ATA/689/2013 du 15 octobre 2013</w:t>
      </w:r>
    </w:p>
    <w:p>
      <w:r>
        <w:t>IT: GE_GERICHTE ATA/689/2013 del 15 ottobre 2013</w:t>
      </w:r>
    </w:p>
    <w:p>
      <w:pPr>
        <w:pStyle w:val="Heading2"/>
      </w:pPr>
      <w:r>
        <w:t>Regeste</w:t>
      </w:r>
    </w:p>
    <w:p>
      <w:r>
        <w:t>Résumé: La recourante, ressortissante d'Arabie Saoudite, est arrivée en Suisse en 2003 en compagnie d'une princesse saoudienne chez qui elle travaillait. Selon ses déclarations, elle a été violée par un autre employé de la princesse. Enceinte suite à cet épisode, la recourante a été congédiée. La fille de la recourante, née à Genève en 2004 est apatride et est scolarisée depuis 2008, elle s'est habituée au mode de vie helvétique. La poursuite de sa scolarité en Arabie Saoudite serait sensiblement entravée ; l'enfant devrait faire face à des difficultés d'ordre social, psychologique et scolaire (ostracisme, brimades, etc.) compte tenu de son statut d'apatride et du fait qu'elle devrait porter le nom de famille de sa mère. Elle risquerait aussi d'être enlevée à sa mère. Un départ en Arabie Saoudite impliquerait une rupture trop brutale avec le milieu suisse où elle est intégrée, pour qu'on puisse raisonnablement le lui imposer. Dès lors une exemption au sens de l'art. 13 let. f OLE doit être accordée à la recourante et à sa fille.</w:t>
      </w:r>
    </w:p>
    <w:p>
      <w:pPr>
        <w:pStyle w:val="Heading2"/>
      </w:pPr>
      <w:r>
        <w:t>Erwägungen</w:t>
      </w:r>
    </w:p>
    <w:p>
      <w:r>
        <w:rPr>
          <w:b/>
        </w:rPr>
        <w:t>E. 8</w:t>
      </w:r>
    </w:p>
    <w:p>
      <w:r>
        <w:t>décembre 2009 ; A. WURZBURGER, La jurisprudence récente du Tribunal fédéral en matière de police des étrangers in RDAF I 1997 p. 267ss).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w:t>
      </w:r>
    </w:p>
    <w:p>
      <w:r>
        <w:t>Le Tribunal fédéral a considéré que les séjours illégaux en Suisse n'étaient pas pris en compte dans l'examen d'un cas de rigueur (ATF 130 II 39 consid. 3 ; arrêt 2A.166/2001 du 21 juin 2001, consid. 2b/bb). La longue durée d'un séjour en Suisse n'est pas, à elle seule, un élément constitutif d'un cas personnel d'extrême gravité dans la mesure où ce séjour est illégal. Sinon, l'obstination à violer la législation en vigueur serait en quelque sorte récompensée (Arrêts du Tribunal administratif fédéral C_6051/2008 et C_6098/2008 du</w:t>
      </w:r>
    </w:p>
    <w:p>
      <w:r>
        <w:rPr>
          <w:b/>
        </w:rPr>
        <w:t>E. 9</w:t>
      </w:r>
    </w:p>
    <w:p>
      <w:r>
        <w:t>juillet 2010 consid. 6.4). 7)</w:t>
      </w:r>
    </w:p>
    <w:p>
      <w:r>
        <w:t>La famille devant être considérée comme un tout, il faut examiner si l'ensemble des circonstances permet de fonder l'octroi d'une exception aux mesures de limitation à ses deux membres. Il faut ainsi prendre en compte la durée du séjour de la famille en Suisse, les liens qu'elle a noués avec ce pays et les aspects particuliers de son intégration.</w:t>
      </w:r>
    </w:p>
    <w:p>
      <w:r>
        <w:t>- 14/18 - A/3799/2008</w:t>
      </w:r>
    </w:p>
    <w:p>
      <w:r>
        <w:t>La chambre de céans doit par ailleurs tenir compte de l'intérêt supérieur de l'enfant, tel qu'il se trouve consacré à l'art. 3 al. 1 de la Convention relative aux droits de l'enfant du 20 novembre 1989 (CDE - RS 0.107). Si ce principe ne fonde pas en soi un droit à une autorisation de séjour, respectivement à une admission provisoire invocable en justice, il représente en revanche un des éléments à prendre en compte dans la pesée des intérêts à effectuer en matière de légalité et d'exigibilité du renvoi ; une abondante jurisprudence a consacré ce principe (ATAF 2009/51 consid. 5.6 ; ATAF 2009/28 consid. 9.3.2 avec références citées ; JICRA 1998 n° 13 consid. 5e ; JICRA 2005 n° 6 consid. 6.1-6.2 ; Arrêt du TAF E-2062/2012 du 7 septembre 2012 consid. 7.3).</w:t>
      </w:r>
    </w:p>
    <w:p>
      <w:r>
        <w:t>Les critères applicables pour déterminer l'intérêt supérieur de l'enfant restent les mêmes en cas de retour dans son pays d'origine et en cas de poursuite de son séjour en Suisse. La chambre de céans intègre dans la notion de la mise en danger concrète des éléments comme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w:t>
      </w:r>
    </w:p>
    <w:p>
      <w:r>
        <w:t>Dans l'examen des chances et des risques inhérents à un départ,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(JICRA 2006 n° 13 consid. 3.5).</w:t>
      </w:r>
    </w:p>
    <w:p>
      <w:r>
        <w:t>En outre, une fois scolarisé depuis plusieurs années en Suisse, l'enfant voit son degré d'intégration augmenté ; lorsqu'il atteint l'adolescence, période essentielle du développement personnel, scolaire et professionnel, entraînant une intégration accrue dans un milieu déterminé, un retour forcé dans le pays d'origine où l’enfant n’a jamais vécu, peut représenter pour lui une mesure d'une dureté excessive (ATF 123 II 125 consid. 4 ; a contrario ATAF 2007/16 consid. 9 ; Arrêt du Tribunal fédéral 2A.718/2006 du 21 mars 2007 consid. 3 ; Arrêts du TAF C- 5262/2008 du 7 septembre 2009 consid. 4.4 ; C-245/2006 du 18 avril 2008 consid. 4.5.1 ; E-2062/2012 précité consid. 7.3). 8) a. En l'espèce, la recourante est en Suisse depuis 2003, mais la durée de ce séjour doit être relativisée puisque celui-ci a toujours été illégal. Elle n'est pas indépendante financièrement dans la mesure où elle bénéficie de prestations versées par l'hospice général depuis 2003, étant précisé que selon l'attestation du</w:t>
      </w:r>
    </w:p>
    <w:p>
      <w:r>
        <w:t>- 15/18 - A/3799/2008 20 octobre 2011, celles-ci s'élèvent à CHF 1'789.50 par mois et que selon l'attestation de ce service du 18 juin 2012, elle est encore aidée financièrement.</w:t>
      </w:r>
    </w:p>
    <w:p>
      <w:r>
        <w:t>De plus, elle ne témoigne pas d'une intégration socio-professionnelle telle qu’elle puisse être qualifiée d’exceptionnelle. La recourante a, semble-t-il, multiplié les emplois, la plupart du temps non déclarés, sans acquérir des connaissances professionnelles si spécifiques qu’elle ne pourrait les utiliser en Arabie Saoudite.</w:t>
      </w:r>
    </w:p>
    <w:p>
      <w:r>
        <w:t>Enfin, quand bien même l'intéressée n'a jamais été condamnée pénalement, force est de constater que la recourante a connu divers épisodes avec les services de police.</w:t>
      </w:r>
    </w:p>
    <w:p>
      <w:r>
        <w:t>b. Quant à sa fille R______, âgée aujourd'hui de 9 ans et demi, née à Genève, elle est scolarisée depuis 2008. Elle s'est ainsi tout naturellement habituée au mode de vie helvétique. Bien qu'elle n'ait pas encore atteint l'âge de l'adolescence, qui implique généralement une forte intégration socioculturelle dans le pays d'accueil, elle n'a pas non plus tissé de lien avec l'Arabie Saoudite où elle ne s'est jamais rendue. On ne saurait donc retenir qu'elle y reste rattachée par le biais de sa mère. La poursuite de sa scolarité en Arabie Saoudite serait sensiblement entravée ; l'intéressée devrait faire face à des difficultés d'ordre social, psychologique et scolaire (ostracisme, brimades, etc.) compte tenu de son statut d'apatride et du fait qu'elle devrait porter le nom de famille de sa mère. Elle risquerait aussi d'être enlevée à sa mère. Un départ dans un pays inconnu, dont les conditions de vie lui sont tout à fait étrangères, hors de tout contexte familial, sans moyens financiers et sans possibilité d'intégrer rapidement un cadre scolaire, constituerait assurément, pour R______ une forme de déracinement. Un départ impliquerait, au demeurant, une rupture trop brutale avec le milieu suisse où elle est intégrée et dans lequel elle a vécu depuis sa naissance, ainsi qu’avec des liens et des repères connus, pour qu'on puisse raisonnablement le lui imposer.</w:t>
      </w:r>
    </w:p>
    <w:p>
      <w:r>
        <w:t>Aussi, il apparaît qu’en raison de la situation particulière de R______, le principe du renvoi de celle-ci doit être remis en cause.</w:t>
      </w:r>
    </w:p>
    <w:p>
      <w:r>
        <w:t>c. Dans la mesure où R______, enfant mineure, remplit les conditions pour bénéficier d'une exception aux mesures de limitation, le renvoi de sa mère, la recourante, serait de nature à compromettre son intégration en Suisse (Arrêt du Tribunal fédéral 2A.679/2006 du 9 février 2007, consid. 4.2 ; Arrêt du TAF C- 245/2006 du 18 avril 2008, consid. 4.5.4). Il convient dès lors de mettre aussi la recourante au bénéfice d'une exemption au sens de l'art. 13 let. f OLE.</w:t>
      </w:r>
    </w:p>
    <w:p>
      <w:r>
        <w:t>d. Dans ces circonstances exceptionnelles, qui doivent être prises en considération dans leur globalité, il apparaît qu’une exemption au sens de l'art. 13 let. f OLE doit être accordée à la recourante et à sa fille, de sorte que le recours sera admis, le jugement attaqué annulé, de même que la décision prise le</w:t>
      </w:r>
    </w:p>
    <w:p>
      <w:r>
        <w:t>- 16/18 - A/3799/2008 22 septembre 2008 par l’OCP. La cause sera renvoyée à celui-ci pour initier la procédure d’octroi d’une autorisation de séjour fondée sur la disposition légale précitée. 9)</w:t>
      </w:r>
    </w:p>
    <w:p>
      <w:r>
        <w:t>Vu l’issue du litige, il ne sera pas perçu d’émolument. Une indemnité de procédure de CHF 1'500.- sera allouée aux recourantes,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