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ATA/687/2023 vom 27. Juni 2023</w:t>
      </w:r>
    </w:p>
    <w:p>
      <w:r>
        <w:t>GE Cour de justice, 2023-06-27, FR</w:t>
      </w:r>
    </w:p>
    <w:p>
      <w:r>
        <w:rPr>
          <w:b/>
        </w:rPr>
        <w:t xml:space="preserve">Quelle: </w:t>
      </w:r>
      <w:r>
        <w:t>https://mcp.opencaselaw.ch/entscheid/ge_gerichte_ATA_687_2023</w:t>
      </w:r>
    </w:p>
    <w:p>
      <w:r>
        <w:t>FR: GE_GERICHTE ATA/687/2023 du 27 juin 2023</w:t>
      </w:r>
    </w:p>
    <w:p>
      <w:r>
        <w:t>IT: GE_GERICHTE ATA/687/2023 del 27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laisse entendre qu’il n’aurait pas été « entendu » avant le prononcé de la décision litigieuse. Il sollicite par ailleurs sa comparution personnelle et l’audition « d’éventuels témoins ». 2.1 Tel qu’il est garanti par l’art. 29 al. 2 Cst., le droit d’être entendu comprend notamment le droit pour l’intéressé d’offrir des preuves pertinentes, de prendre connaissance du dossier, d’obtenir qu’il soit donné suite à ses offres de preuves pertinentes (ATF 142 II 218 consid. 2.3 ; arrêt du Tribunal fédéral 2C_656/2016 du 9 février 2017 consid. 3.2 et les références citées),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comprend pas le droit d’être entendu oralement (arrêt du Tribunal fédéral 1C_551/2015 du 22 mars 2016 consid. 2.2 ; aussi art. 41 2ème phr. LPA) ni celui d’obtenir l’audition de témoins (ATF 130 II 425 consid. 2.1). 2.2 En l’espèce, le recourant a eu la possibilité, le 5 janvier 2023, en ayant connaissance de la lettre d’intention du PCTN du 23 décembre 2022, de faire part de ses observations et de produire toutes pièces utiles. Il a à cette occasion indiqué ne pas avoir travaillé les mois de janvier à mars 2022 « pour des raisons personnelles et familiales ». Il a ainsi pu faire valoir ses arguments avant que la décision litigieuse ne soit rendue. Pour autant qu’il en fasse le grief à l’autorité, son droit d’être entendu a bien été respecté. Par ailleurs, le dossier contient les pièces nécessaires à l’établissement des faits. Le recourant a eu l’occasion d’exercer son droit d’être entendu également devant la chambre de céans, par le dépôt de deux écritures. Il a pu produire les pièces qu’il estimait utiles. Les faits sur lesquels pourrait être entendu l’intéressé sont ainsi suffisamment établis par les pièces du dossier. Il n’indique pas quels témoins devraient en définitive être entendus ni sur quel aspect du dossier.</w:t>
      </w:r>
    </w:p>
    <w:p>
      <w:r>
        <w:t>- 5/12 - A/844/2023 Il ne sera dès lors pas donné suite à sa requête. 3. Le recourant considère que la décision rejetant sa demande d’AUADP serait contraire au droit et violerait le principe de proportionnalité. 3.1 La LTVTC, actuellement en vigueur depuis le 1er novembre 2022, résulte du projet de loi (ci-après : PL) n° 12649 sur les taxis et les voitures de transport avec chauffeur, déposé par le Conseil d’État devant le Grand Conseil le 16 février 2020. Ce projet a été renvoyé à la commission parlementaire des transports qui a rendu deux rapports, respectivement le 16 août 2021 (PL 12649-A) et le 11 janvier 2022 (PL 12649-B). 3.2 Dans sa présentation du PL, le département a apporté les précisions suivantes. 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3.3 Il ressort des débats que la commission parlementaire a voulu supprimer la location des plaques, qui conférait une rente de situation aux titulaires d’une AUADP, lesquels les louaient à un prix abusif. Le bail à ferme, tel qu’il était pratiqué par certaines personnes, restait un système exploitant une certaine dépendance, qui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 3.4 À l’issue de la séance du 28 janvier 2022, le Grand Conseil a adopté la LTVTC (loi 12649), publiée le 4 février 2022 dans la Feuille d’avis officielle de la République et canton de Genève (ci-après : FAO) fixant le délai référendaire au 16 mars 2022. 3.5 Vu l’expiration du délai référendaire, le Conseil d’État a, par arrêté du 23 mars 2022 publié dans la FAO du 25 mars 2022, promulgué la LTVTC pour être exécutoire dans tout le canton dès le lendemain de la publication dudit arrêté,</w:t>
      </w:r>
    </w:p>
    <w:p>
      <w:r>
        <w:t>- 6/12 - A/844/2023 l’entrée en vigueur de la loi devant être fixée ultérieurement par le Conseil d’État. Lors de son communiqué hebdomadaire du 19 octobre 2022, le Conseil d’État a annoncé que la LTVTC et son règlement d’application entreraient en vigueur le 1er novembre 2022. 3.6 L’art. 46 al. 13 LTVTC dispose, sous l’intitulé « Attribution des autorisations restituées ou caduques », que le département peut attribuer l’AUADP domaine public à la personne physique ou morale qui en était l’utilisateur effectif au moment du dépôt de la présente loi, s’il en était toujours l’utilisateur au moment de l’adoption de la loi, en faisait la requête et réalisait les conditions de délivrance visées à l’art. 13 al. 5 LTVTC. 3.7 Selon un principe général de droit intertemporel, rappelé dans l’arrêt 2C_339/2021 du Tribunal fédéral du 4 mai 2022 (consid. 4.1), les dispositions légales applicables à une contestation sont celles en vigueur au moment où se sont produits les faits juridiquement déterminants pour trancher celle-ci (ATF 146 V 364 consid. 7.1 ; 140 V 41 consid. 6.3.1).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147 V 156 consid. 7.2.1 ; 146 V 364 consid. 7.1 ; 138 I 189 consid. 3.4). La rétroactivité doit en outre être raisonnablement limitée dans le temps (ATF 147 V 156 consid. 7.2.1 ; 146 V 364 consid. 7.1 ; arrêt du Tribunal fédéral 1C_366/2016 du 13 février 2017 consid. 2.1). 3.8 L'ordre juridique suisse peut être modifié à tout moment, conformément aux principes régissant la démocratie. Il n'existe pas, selon le Tribunal fédéral, de droit au maintien d'une certaine législation (arrêt du Tribunal fédéral 2E_3/2020 du 11 novembre 2021 consid. 9.7.2 et arrêts cités). Dans certaines circonstances, la jurisprudence a toutefois déduit des principes de l'égalité de traitement, de la bonne foi, de la proportionnalité et de l'interdiction de l'arbitraire, l'obligation pour le législateur de prévoir un régime transitoire (ATF 145 II 140 consid. 4 ; 134 I 23 consid. 7.6.1 ; 130 I 26 consid. 8.1 ; 128 I 92 consid. 4). Un tel régime doit permettre aux administrés de s'adapter à la nouvelle réglementation et non pas de profiter le plus longtemps possible de l'ancien régime plus favorable (ATF 145 II 140 consid. 4 ; 134 I 23 consid. 7.6.1 ; arrêt du Tribunal fédéral 2E_3/2020 précité consid. 9.7.2).</w:t>
      </w:r>
    </w:p>
    <w:p>
      <w:r>
        <w:t>- 7/12 - A/844/2023 Il n'y a pas de droit constitutionnel à cet égard (ATF 118 Ib 241 consid. 5e et 9b ; arrêt du Tribunal fédéral 2E_3/2020 précité consid. 9.7.2). L'auteur de la réglementation dispose d'une large marge d'appréciation (ATF 128 I 92 consid. 4 ; arrêt du Tribunal fédéral 2C_482/2020 du 28 septembre 2021 consid. 7.2). Il faut, le cas échéant, procéder à une pesée des intérêts entre la protection de la bonne foi et le principe de la légalité qui exige que, sauf motif particulier, les lois ou ordonnances entrent en vigueur sans retard (arrêts du Tribunal fédéral 2C_158/2012 du 20 avril 2012 consid. 3.8 ; 1A.196/1999 du 24 novembre 1999 consid. 6a). La question de savoir quand le nouveau droit doit entrer en vigueur et selon quelles modalités dépend du but poursuivi par la norme. Une entrée en vigueur immédiate se justifie lorsqu'il s'agit d'éviter qu'à la faveur de certains délais, les intéressés ne se hâtent de faire ce que le nouveau droit tend à interdire, privant ainsi la loi de son effet (ATF 114 Ib 17 consid. 4 et 6b ; 104 Ib 205 consid. 5b). En revanche, lorsque le changement de législation conduit les particuliers à des sacrifices trop importants au regard du but visé, il peut se justifier d'aménager l'entrée en vigueur, par exemple en publiant la loi assez tôt pour permettre aux personnes visées de prendre leurs dispositions, ou en prévoyant une entrée en vigueur par paliers, la possibilité d'octroyer des autorisations exceptionnelles ou encore des délais d'adaptation. Il convient toutefois de faire preuve de retenue à cet égard et de n'agir qu'en présence d'intérêts dignes de protection, car, outre l'intérêt public à une application immédiate du nouveau droit, les principes de l'égalité de traitement et de la sécurité du droit commandent que les anciens rapports juridiques soient rendus conformes au nouveau droit dans les meilleurs délais (arrêt du Tribunal fédéral 2E_3/2020 précité consid. 9.7.2 et arrêts cités). 3.9 En l’espèce, la requête – c’est-à-dire le fait juridiquement déterminant – du recourant auprès du PCTN en vue de l’obtention d’une AUADP date du 8 novembre 2022, soit après l’entrée en vigueur de la nouvelle LTVTC. Cette demande doit donc s’examiner au regard de la nouvelle réglementation, conformément au principe général du droit intertemporel rappelé par la jurisprudence fédérale susmentionnée. La nouvelle LTVTC, adoptée le 28 janvier 2022, soit près de deux ans après son dépôt auprès du Grand Conseil, a été publiée le 4 février 2022 dans la FAO et son arrêté de promulgation par le Conseil d’État, du 23 mars 2022, y a été publié le 25 mars 2022, après l’expiration du délai référendaire fixé. Ainsi, dès fin mars 2022, le recourant ne pouvait de bonne foi ignorer que la pratique consistant à exercer la profession de chauffeur de taxi en louant les plaques à des tiers détenteurs d’AUADP serait supprimée lors de l’entrée en vigueur de la nouvelle LTVTC. La nouvelle réglementation prévue dans ledit PL offrait trois options au détenteur d’une AUADP, à savoir l’utiliser lui-même, engager un chauffeur pour</w:t>
      </w:r>
    </w:p>
    <w:p>
      <w:r>
        <w:t>- 8/12 - A/844/2023 l’utiliser qui devenait contractuellement son employé ou la céder définitivement, ce qui permettait de l’octroyer à des nouveaux candidats. Ainsi, lorsqu’il a commencé à louer une AUADP en juillet 2022, le recourant ne pouvait ignorer le changement prochain de réglementation affectant l’exercice de la profession de chauffeur de taxi, en raison notamment des deux publications précitées dans la FAO en février et mars 2022. Il ne peut dès lors se prévaloir ni du principe de la bonne foi, ni de droits acquis liés à l’exercice de cette profession. L’art. 46 al. 13 LTVTC sur lequel la décision litigieuse est fondée est une disposition transitoire qui a pour fonction d’atténuer la « rigueur du passage d’une loi à une autre loi » (Milena PIREK, L’application du droit public dans le temps : la question du changement de loi, 2018 p. 182). Or, la mise en place d’un régime transitoire présuppose, d’une part, d’avoir pu bénéficier de l’application de l’ancien droit, ce qui a été le cas du recourant, selon les éléments indiqués dans la demande ayant abouti à la décision litigieuse, du 1er septembre 2018 au 31 mars 2020. Entre janvier et mars 2022 inclusivement, le recourant concède ne pas avoir été l’utilisateur effectif d’une AUADP 2022, étant relevé qu’il a lui-même mentionné dans sa requête en autorisation une location de plaques à compter du 1er juillet 2022 seulement. Peu importe à cet égard, comme justement retenu par l’autorité intimée, qu’il se soit trouvé à l’étranger ni encore qu’il s’y serait rendu pour des « raisons personnelles et familiales » qu’il n’a au demeurant nullement démontrées sous l’angle de la nécessité. Vu le processus législatif en cours depuis le dépôt du PL 12'649 par le Conseil d’État le 16 février 2020, pour mettre un terme à la précarisation des chauffeurs de taxi contraints de louer une AUADP à des prix abusifs, vu le long délai d’attente pour leur obtention, le recourant devait s’attendre à l’entrée en vigueur de la nouvelle LTVTC qui supprimerait la possibilité d’exercer la profession de chauffeur de taxi en louant une AUADP. Le fait d’avoir été au bénéfice d’une AUADP au moment du dépôt de la loi, en février 2020, ne permet pas, contrairement à ce que soutient le recourant, d’entrer dans l’exception visée par l’art. 46 al. 13 LTVTC, à savoir une norme transitoire qui n’existait alors pas. En outre, comme le relève la jurisprudence susmentionnée, le recourant n’a ni le droit au maintien de l’ancienne LTVTC, ni de profiter le plus longtemps possible de l’ancien régime qui serait par hypothèse plus favorable à travers des dispositions transitoires. Le législateur dispose à cet égard d’une large marge d’appréciation pour fixer la date d’entrée en vigueur du nouveau droit et ses modalités, étant rappelé que la protection de la bonne foi doit être mise en balance avec le principe de la légalité exigeant, sauf motif particulier, une entrée en vigueur immédiate du nouveau droit. Au demeurant, en visant les utilisateurs effectifs d’une AUADP notamment au moment de l’adoption de cette loi, fin janvier 2022, le législateur a ciblé les</w:t>
      </w:r>
    </w:p>
    <w:p>
      <w:r>
        <w:t>- 9/12 - A/844/2023 chauffeurs de taxi ayant recouru à la location d’AUADP, tolérée sous l’ancien droit, pour exercer cette profession à un moment où ils ne pouvaient de bonne foi pas s’attendre à la suppression juridique de cette pratique, de sorte que la question d’un régime transitoire pouvait se poser pour eux, contrairement à la situation du recourant. Par conséquent, le grief tiré d’une prétendue violation du droit par l’art. 46 al. 13 LTVTC est écarté. 4. Le recourant semble également invoquer l’égalité de traitement entre acteurs de la même branche économique, sans toutefois développer d’argument tiré de l’application concrète de la nouvelle réglementation à sa demande du 8 novembre 2022. La chambre administrative a déjà retenu qu’elle ne voyait pas de raison de s’écarter de la jurisprudence de la chambre constitutionnelle de la Cour de justice (ci-après : la chambre constitutionnelle) qui a tranché ces questions, incluant l’examen du respect du principe de la proportionnalité et celui de la question des droits acquis, dans des arrêts du 22 décembre 2022 (ACST/26/2022 et ACST/27/2022) s’agissant de la nouvelle LTVTC et du 24 mars 2023 (ACST/15/2023) quant à son règlement d’application (ATA/525/2023 du 23 mai 2023 consid. 5). 4.1 Dans ses arrêts du 22 décembre 2022, la chambre constitutionnelle a jugé que le caractère strictement personnel et intransmissible des AUADP – résultant des nouvelles dispositions de la LTVTC, entrée en vigueur le 1er novembre 2022, et supprimant la possibilité de louer les plaques d’immatriculation des taxis aux détenteurs de celles-ci – répondait aux exigences de la proportionnalité (ACST/26/2022 précité consid. 5e ; ACST/27/2022 précité consid. 6). Une telle mesure permettait à l’autorité d’effectuer un contrôle sur l’attribution des AUADP et d’éviter leur commerce et, par conséquent, des spéculations sur les prix. Il ressortait des constats effectués par le Conseil d’État dans son rapport RD 1'327 sur le bilan intermédiaire de l’ancienne loi sur les taxis et les voitures de transport de personnes avec chauffeur du 13 octobre 2016, entrée en vigueur le 1er juillet 2017 (ci-après : aLTVTC), ainsi que des déclarations des représentants des milieux des taxis devant la commission parlementaire, que de nombreux titulaires d’AUADP mettaient en location leurs plaques, percevant une rente pouvant atteindre jusqu’à CHF 2'000.- par mois par jeu de plaques, sans pour autant exercer eux-mêmes la profession. Ce prix à payer, ajouté à une diminution des revenus, plaçait les chauffeurs concernés dans une situation de précarité économique, qu’ils devaient compenser en augmentant leur temps de travail. L’intransmissibilité des AUADP permettait ainsi non seulement de mettre fin à une telle précarisation de la profession et à l’enrichissement correspondant des titulaires des AUADP, mais également d’inciter ceux n’exerçant plus comme chauffeur de les restituer afin de permettre l’accès à la profession de nouvelles personnes (ACST/26/2022 précité ch. 5 et 7b et consid. 5e).</w:t>
      </w:r>
    </w:p>
    <w:p>
      <w:r>
        <w:t>- 10/12 - A/844/2023 Par ailleurs, la chambre constitutionnelle a admis que les nouvelles dispositions querellées, à savoir les art. 13 al. 3 et al. 9 let. et art. 46 al. 8 à 13 LTVTC, poursuivaient un but d’intérêt public admissible pour ces mêmes motifs et vu l’exigence d’égalité entre concurrents qui supposait, pour être effective, la mise en place d’un système de distribution des autorisations qui soit cohérent, transparent et fondé sur des motifs objectifs, sous peine d’ouvrir la porte à l’arbitraire (ACST/26/2022 précité consid. 5d). Cette juridiction a dès lors conclu que l’incessibilité des AUADP constituait une restriction admissible à la liberté économique dans sa dimension individuelle (ACST/26/2022 précité consid. 5e ; ACST/27/2022 précité consid. 6). Elle a également écarté le grief tiré d’une inégalité de traitement entre concurrents directs, plus particulièrement entre les chauffeurs de taxi et les chauffeurs de voiture de transport avec chauffeur (ACST/26/2022 précité consid. 6 ; ACST/27/2022 précité consid. 7). 4.2 Dans son arrêt du 24 mars 2023 (ACST/15/2023),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4.3 La chambre constitutionnelle a aussi rappelé que l’AUADP octroyée aux taxis ne conférait généralement pas de droits acquis, à moins de garanties spécifiquement obtenues concernant la poursuite de l’activité de location de plaques, ce qui n’était pas le cas dans les affaires dont elle était saisie (ACST/26/2022 précité consid. 7 ; ACST/27/2022 précité consid. 10). Pour les raisons qui viennent d’être évoquées, le recourant ne peut donc pas non plus se prévaloir de droits acquis concernant son activité de chauffeur de taxi dès le 1er juillet 2022 fondée sur la location de plaques d’autrui. En conséquence, le recours doit être rejeté.</w:t>
      </w:r>
    </w:p>
    <w:p>
      <w:r>
        <w:rPr>
          <w:b/>
        </w:rPr>
        <w:t>E. 5</w:t>
      </w:r>
    </w:p>
    <w:p>
      <w:r>
        <w:t>Vu l’issue du litige, un émolument de CHF 500.- sera mis à la charge du recourant (art. 87 al. 1 LPA) et aucune indemnité de procédure ne lui sera allouée (art. 87 al. 2 LPA).</w:t>
      </w:r>
    </w:p>
    <w:p>
      <w:r>
        <w:t>* * * * *</w:t>
      </w:r>
    </w:p>
    <w:p>
      <w:r>
        <w:t>- 11/12 - A/844/2023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