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ATA/682/2015 vom 24. Juni 2015</w:t>
      </w:r>
    </w:p>
    <w:p>
      <w:r>
        <w:t>GE Cour de justice, 2015-06-24, FR</w:t>
      </w:r>
    </w:p>
    <w:p>
      <w:r>
        <w:rPr>
          <w:b/>
        </w:rPr>
        <w:t xml:space="preserve">Quelle: </w:t>
      </w:r>
      <w:r>
        <w:t>https://mcp.opencaselaw.ch/entscheid/ge_gerichte_ATA_682_2015</w:t>
      </w:r>
    </w:p>
    <w:p>
      <w:r>
        <w:t>FR: GE_GERICHTE ATA/682/2015 du 24 juin 2015</w:t>
      </w:r>
    </w:p>
    <w:p>
      <w:r>
        <w:t>IT: GE_GERICHTE ATA/682/2015 del 24 giugno 2015</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w:t>
      </w:r>
    </w:p>
    <w:p>
      <w:r>
        <w:t>Le recours est recevable. 2)</w:t>
      </w:r>
    </w:p>
    <w:p>
      <w:r>
        <w:t>Selon l’art. 10 al. 2 LaLEtr, la chambre administrative doit statuer dans les dix jours qui suivent sa saisine. Ayant reçu le recours 16 juin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w:t>
      </w:r>
    </w:p>
    <w:p>
      <w:r>
        <w:t>- 5/7 - A/1814/2015 légalité implique ainsi que la mise en détention administrative ne soit prononcée que si les motifs prévus dans la loi sont concrètement réalisés (arrêt du Tribunal fédéral 2C_478/2012 du 14 juin 2012 consid. 2.1).</w:t>
      </w:r>
    </w:p>
    <w:p>
      <w:r>
        <w:t>En outre, la personne en détention administrative peut déposer en tout temps une demande de levée de détention (art. 7 al. 4 let. g LaLEtr).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En l’espèce, le recourant ne conteste pas que les conditions d’application des dispositions susmentionnées soient remplies, ce à juste titre dès lors qu’il fait l’objet d’une décision fédérale de renvoi exécutoire, qu’il n’a, à teneur du dossier, à aucun moment collaboré avec les autorités compétentes pour organiser son retour au Cameroun, qu’il a affirmé à réitérées reprises ne pas vouloir s’y rendre et qu’il a déjà disparu lors de la procédure de renvoi suite à une première décision de non-entrée en matière sur une demande d’asile. Il s’est enfin opposé à l’exécution de son renvoi prévu le 11 juin 2015. 6)</w:t>
      </w:r>
    </w:p>
    <w:p>
      <w:r>
        <w:t>Les démarches nécessaires à l’exécution du renvoi doivent être entreprises sans tarder (art. 76 al. 4 LEtr).</w:t>
      </w:r>
    </w:p>
    <w:p>
      <w:r>
        <w:t>Tel est le cas en l’espèce, les autorités en charge de l’exécution du renvoi ayant obtenu un laissez-passer de la part des autorités camerounaises et un vol étant d’ores et déjà réservé. 7)</w:t>
      </w:r>
    </w:p>
    <w:p>
      <w:r>
        <w:t>Le recourant n’allègue pas que l’exécution du renvoi serait illicite, impossible ou ne pourrait être raisonnablement exigé et aucun élément du dossier ne permet d’envisager que tel pourrait être le cas. 8)</w:t>
      </w:r>
    </w:p>
    <w:p>
      <w:r>
        <w:t>Au vu de ce qui précède, le recours sera rejeté.</w:t>
      </w:r>
    </w:p>
    <w:p>
      <w:r>
        <w:t>- 6/7 - A/1814/2015 9)</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