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ATA/680/2024 vom 4. Juni 2024</w:t>
      </w:r>
    </w:p>
    <w:p>
      <w:r>
        <w:t>GE Cour de justice, 2024-06-04, FR</w:t>
      </w:r>
    </w:p>
    <w:p>
      <w:r>
        <w:rPr>
          <w:b/>
        </w:rPr>
        <w:t xml:space="preserve">Quelle: </w:t>
      </w:r>
      <w:r>
        <w:t>https://mcp.opencaselaw.ch/entscheid/ge_gerichte_ATA_680_2024</w:t>
      </w:r>
    </w:p>
    <w:p>
      <w:r>
        <w:t>FR: GE_GERICHTE ATA/680/2024 du 4 juin 2024</w:t>
      </w:r>
    </w:p>
    <w:p>
      <w:r>
        <w:t>IT: GE_GERICHTE ATA/680/2024 del 4 giugno 2024</w:t>
      </w:r>
    </w:p>
    <w:p>
      <w:pPr>
        <w:pStyle w:val="Heading2"/>
      </w:pPr>
      <w:r>
        <w:t>Regeste</w:t>
      </w:r>
    </w:p>
    <w:p>
      <w:r>
        <w:t>Résumé: Admission partielle du recours d’une société, ayant son siège dans un autre canton suisse et un établissement stable dans le canton de Genève, contre le jugement confirmant le prononcé des rappels d’impôts ICC et les amendes y relatives pour négligence, à la suite de la communication par l’autorité fiscale du canton du siège des taxations prononcées dans celui-ci, qui comprenaient des éléments non imposés dans les taxations genevoises en force. Renvoi au TAPI pour instruction complémentaire et nouvelle décision, sous une réserve concernant une reprise d’un montant relativement faible admise par la contribuable, en raison de l’absence, dans le dossier, d’éléments de faits et de preuve nécessaires pour admettre les rappels d’impôts litigieux et a fortiori les amendes correspondantes, notamment les comptes de la société et les annexes aux déclarations fiscales ainsi que la question de la négligence grave qu’invoque la contribuable à l’égard de l’administration fiscale genevoise au vu des éléments qu’elle avait déclarés et que cette dernière n’avait pas instruit, contrairement à l’autorité fiscale du canton du siège.</w:t>
      </w:r>
    </w:p>
    <w:p>
      <w:pPr>
        <w:pStyle w:val="Heading2"/>
      </w:pPr>
      <w:r>
        <w:t>Erwägungen</w:t>
      </w:r>
    </w:p>
    <w:p>
      <w:r>
        <w:rPr>
          <w:b/>
        </w:rPr>
        <w:t>E. 5</w:t>
      </w:r>
    </w:p>
    <w:p>
      <w:r>
        <w:t>Vu l’issue du litige, un émolument limité de CHF 500.- sera mis à la charge de la contribuable (art. 87 al. 1 LPA) et aucune indemnité de procédure ne lui sera allouée, faute d’y avoir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