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ATA/680/2017 vom 20. Juni 2017</w:t>
      </w:r>
    </w:p>
    <w:p>
      <w:r>
        <w:t>GE Cour de justice, 2017-06-20, FR</w:t>
      </w:r>
    </w:p>
    <w:p>
      <w:r>
        <w:rPr>
          <w:b/>
        </w:rPr>
        <w:t xml:space="preserve">Quelle: </w:t>
      </w:r>
      <w:r>
        <w:t>https://mcp.opencaselaw.ch/entscheid/ge_gerichte_ATA_680_2017</w:t>
      </w:r>
    </w:p>
    <w:p>
      <w:r>
        <w:t>FR: GE_GERICHTE ATA/680/2017 du 20 juin 2017</w:t>
      </w:r>
    </w:p>
    <w:p>
      <w:r>
        <w:t>IT: GE_GERICHTE ATA/680/2017 del 20 giugno 2017</w:t>
      </w:r>
    </w:p>
    <w:p>
      <w:pPr>
        <w:pStyle w:val="Heading2"/>
      </w:pPr>
      <w:r>
        <w:t>Regeste</w:t>
      </w:r>
    </w:p>
    <w:p>
      <w:r>
        <w:t>Résumé: L'union conjugale du recourant avec son épouse suisse a duré moins de trois ans. Il ne peut ainsi pas être mis au bénéfice d'un permis de séjour sans qu'il ne soit nécessaire d'examiner si son intégration est suffisante. Le recourant, bolivien, ne se trouve pas dans une situation de cas de rigueur. Son intégration en Suisse n'apparaît à tout le moins pas exceptionnel. Les relations qu'il a avec ses enfants n'apparaissent pas avoir la densité nécessaire pour imposer qu'il reste en Suisse. De plus, le fait qu'il ne se soit plus préoccupé de la procédure en cours depuis le mois de novembre 2016 et ne soit plus atteignable depuis lors démontre le peu d'importance qu'il attache au fait d'obtenir un statut légale en Suisse.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3</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boliviens.</w:t>
      </w:r>
    </w:p>
    <w:p>
      <w:r>
        <w:t>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w:t>
      </w:r>
    </w:p>
    <w:p>
      <w:r>
        <w:t>Après dissolution de la famille, le droit du conjoint et des enfants à l'octroi d'une autorisation de séjour et à la prolongation de sa durée de validité subsiste lorsque l'union conjugale a duré au moins trois ans et que l'intégration est réussie (art. 50 al. 1 let. a LEtr) ou lorsque la poursuite du séjour en Suisse s'impose pour des raisons personnelles majeures (art. 50 al. 1 let. b LEtr).</w:t>
      </w:r>
    </w:p>
    <w:p>
      <w:r>
        <w:t>S'agissant de la première condition de l'art. 50 al. 1 let. a LEtr, la période minimale de trois ans de l'union conjugale commence à courir dès le début de la cohabitation effective des époux en Suisse et s'achève au moment où ceux-ci</w:t>
      </w:r>
    </w:p>
    <w:p>
      <w:r>
        <w:t>- 6/11 - A/1617/2013 cessent de faire ménage commun (ATF 140 II 345 consid. 4.1 ; ATF 138 II 229 consid. 2 ; ATF 136 II 113 consid. 3.3.3).</w:t>
      </w:r>
    </w:p>
    <w:p>
      <w:r>
        <w:t>Il n’est pas nécessaire d’examiner la condition de la réussite de l’intégration lorsque l’union conjugale a duré moins de trois ans, les deux conditions étant cumulatives (ATF 136 II consid. 3.3.3 ; arrêts du Tribunal fédéral 2C_352/2014 du 18 mars 2015 consid. 4 ; ATA/241/2017 du 28 février 2017 consid. 4b).</w:t>
      </w:r>
    </w:p>
    <w:p>
      <w:r>
        <w:t>c. En l’espèce, l’union conjugale de l’intéressé avec Mme C______ a duré du 9 avril 2010 au 31 novembre 2011, soit moins de trois ans. Ultérieurement, le mariage de l’intéressé avec Mme E______ ne s’est pas concrétisé.</w:t>
      </w:r>
    </w:p>
    <w:p>
      <w:r>
        <w:t>En conséquence, le recourant ne peut être mis au bénéfice d’un permis de séjour sans qu’il ne soit nécessaire d’examiner si son intégration est suffisante au regard des exigences légales.</w:t>
      </w:r>
    </w:p>
    <w:p>
      <w:r>
        <w:rPr>
          <w:b/>
        </w:rPr>
        <w:t>E. 4</w:t>
      </w:r>
    </w:p>
    <w:p>
      <w:r>
        <w:t>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w:t>
      </w:r>
    </w:p>
    <w:p>
      <w:r>
        <w:t>b.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w:t>
      </w:r>
    </w:p>
    <w:p>
      <w:r>
        <w:t>- 7/11 - A/1617/2013</w:t>
      </w:r>
    </w:p>
    <w:p>
      <w:r>
        <w:t>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d.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administratif fédéral C-6628/2007 du 23 juillet 2009 consid. 5.2 ; ATA/25/2017 du 17 janvier 2017 consid. 4b).</w:t>
      </w:r>
    </w:p>
    <w:p>
      <w:r>
        <w:t>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ATA/589/2014 précité consid. 9c). Le simple fait d'invoquer que la réintégration sociale, en cas de retour dans son pays, risque d’être fortement compromise ne suffit pas ; les craintes doivent sembler fondées sur des circonstances concrètes (Domaine des étrangers, directives LEtr, 2013, état au 12 avril 2017, ch. 6.15.3.5).</w:t>
      </w:r>
    </w:p>
    <w:p>
      <w:r>
        <w:t>- 8/11 - A/1617/2013</w:t>
      </w:r>
    </w:p>
    <w:p>
      <w:r>
        <w:rPr>
          <w:b/>
        </w:rPr>
        <w:t>E. 5</w:t>
      </w:r>
    </w:p>
    <w:p>
      <w:r>
        <w:t>a. Selon la jurisprudence du Tribunal fédéral, un étranger peut, selon les circonstances, se prévaloir du droit au respect de sa vie privée et familiale au sens de l'art. 8 § 1 de la Convention de sauvegarde des droits de l’homme et des libertés fondamentales du 4 novembre 1950 (CEDH - RS 0.101),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141 II 169 consid. 5.2.1 ; 139 I 330 consid. 2.1 ; 137 I 284 consid. 1.3 ; 130 II 281 consid. 3.1) ; de manière plus générale la Cour européenne des droits de l’homme (ci-après : CourEDH) retient qu'exclure une personne d’un pays où vivent ses proches parents peut constituer une ingérence dans le droit au respect de sa vie familiale, tel que protégé par l’art. 8 § 1 CEDH (ACEDH K.M. c. Suisse, du 2 juin 2015, req. n° 6009/2010, § 44). Les relations visées à l'art. 8 CEDH sont avant tout celles qui existent entre époux, ainsi que les relations entre parents et enfants mineurs vivant en ménage commun (ATF 135 I 143 consid. 1.3.2 ; 127 II 60 consid. 1d.aa ; ATF 120 Ib 257 consid. 1d ; arrêts du Tribunal fédéral 2C_546/2013 du 5 décembre 2013 consid. 4.1 ; 2C_40/2012 du 15 octobre 2012 consid. 8 ; ATA/400/2016 du</w:t>
      </w:r>
    </w:p>
    <w:p>
      <w:r>
        <w:rPr>
          <w:b/>
        </w:rPr>
        <w:t>E. 10</w:t>
      </w:r>
    </w:p>
    <w:p>
      <w:r>
        <w:t>mai 2016 et les références citées).</w:t>
      </w:r>
    </w:p>
    <w:p>
      <w:r>
        <w:t>b.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c.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(ATA/426/2016 du 24 mai 2016 consid. 9e ; ATA/155/2011 du 8 mars 2011 et les références citées).</w:t>
      </w:r>
    </w:p>
    <w:p>
      <w:r>
        <w:t>d.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w:t>
      </w:r>
    </w:p>
    <w:p>
      <w:r>
        <w:t>- 9/11 - A/1617/2013 que par l'écoulement du temps (ATF 140 I 145 consid. 4.2 ; arrêt du Tribunal fédéral 2C_652/2013 du 17 décembre 2013 consid. 4.2 ; ATA/400/2016 précité). 6.</w:t>
      </w:r>
    </w:p>
    <w:p>
      <w:r>
        <w:t>En l’espèce, tant l’OCPM que le TAPI ont, à juste titre, retenu que le recourant ne se trouvait pas dans une situation de cas de rigueur et que les dispositions prévues par le droit international pour protéger la vie familiale, rappelées ci-dessus, n’impliquaient pas qu’un permis de séjour lui soit délivré.</w:t>
      </w:r>
    </w:p>
    <w:p>
      <w:r>
        <w:t>L’intégration de l’intéressé en Suisse n’apparaît à tout le moins pas exceptionnel : bien qu’il soit arrivé à Genève lors qu’il était encore en âge scolaire, il n’apparaît pas avoir acquis une formation professionnelle et rien ne permet de penser, dans le dossier, qu’il ait un quelconque revenu. Les relations éventuelles qu’il a avec ses enfants n’apparaissent pas avoir la densité nécessaire pour imposer que le recourant puisse rester en Suisse.</w:t>
      </w:r>
    </w:p>
    <w:p>
      <w:r>
        <w:t>De plus, le fait que M. A______ ne se soit plus préoccupé de la procédure en cours depuis le mois de novembre 2016 et ne soit plus atteignable depuis lors démontre aussi le peu d’importance qu’il attache au fait d’obtenir un statut légal en Suisse. 7.</w:t>
      </w:r>
    </w:p>
    <w:p>
      <w:r>
        <w:t>Au vu de ce qui précède, l’OCPM n’a ni excédé ni abusé de son pouvoir d’appréciation en refusant de renouveler l’autorisation de séjour du recourant. C'est ainsi à juste titre que le TAPI a confirmé la décision litigieuse.</w:t>
      </w:r>
    </w:p>
    <w:p>
      <w:r>
        <w:t>Le recours sera rejeté. 8.</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