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ATA/677/2011 vom 1. November 2011</w:t>
      </w:r>
    </w:p>
    <w:p>
      <w:r>
        <w:t>GE Cour de justice, 2011-11-01, FR</w:t>
      </w:r>
    </w:p>
    <w:p>
      <w:r>
        <w:rPr>
          <w:b/>
        </w:rPr>
        <w:t xml:space="preserve">Quelle: </w:t>
      </w:r>
      <w:r>
        <w:t>https://mcp.opencaselaw.ch/entscheid/ge_gerichte_ATA_677_2011</w:t>
      </w:r>
    </w:p>
    <w:p>
      <w:r>
        <w:t>FR: GE_GERICHTE ATA/677/2011 du 1 novembre 2011</w:t>
      </w:r>
    </w:p>
    <w:p>
      <w:r>
        <w:t>IT: GE_GERICHTE ATA/677/2011 del 1 novembre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w:t>
      </w:r>
    </w:p>
    <w:p>
      <w:r>
        <w:rPr>
          <w:b/>
        </w:rPr>
        <w:t>E. 5</w:t>
      </w:r>
    </w:p>
    <w:p>
      <w:r>
        <w:t>L’AFC a demandé au recourant, par courrier recommandé du 2 septembre 2009, des informations complémentaires.</w:t>
      </w:r>
    </w:p>
    <w:p>
      <w:r>
        <w:t>S’agissant d’un acte soumis à réception, telle une communication de procédure, la notification est réputée 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 citées). Celui qui, pendant une procédure, omet de prendre les dispositions nécessaires - telle que faire suivre son courrier ou désigner un mandataire susceptible de le représenter - pour que les envois postaux lui soient transmis ne peut se prévaloir de son absence lors de la tentative de notification à son adresse habituelle s’il devait s’attendre, avec une certaine vraisemblance, à recevoir une telle communication (ATF 130 III 396 consid. 1.2.3 p. 399 et réf. citées ; ATF 119 V 94 consid. 4b/aa ; Arrêt du Tribunal fédéral 1C_549/2009 du 1er mars 2010 consid. 3.2.1). Un envoi est réputé notifié à la date à laquelle son destinataire le reçoit effectivement. En l'espèce, l’analyse des mentions portées sur l’enveloppe du courrier permet d’affirmer que ce dernier était encore en Suisse le 10 septembre 2009, le timbre humide indiquant le quantième avant le mois, contrairement aux habitudes étasuniennes. En revanche, les indications manuscrites (9/14, 9-25 et 10-14) ont dû être apposées aux Etats-Unis. Dès lors que M. A______ a quitté les Etats-Unis pour revenir à Genève le 6 octobre 2009, il a dû prendre connaissance du courrier concerné le 5 octobre au plus tard. Il n’a toutefois communiqué les informations demandées à l’AFC que vingt-quatre jours plus tard, le 29 octobre 2009, s’accordant ainsi un délai dépassant en jours celui fixé initialement par l’administration, sans prendre la peine d’informer cette dernière.</w:t>
      </w:r>
    </w:p>
    <w:p>
      <w:r>
        <w:t>- 7/8 - A/4356/2009 Dans ces circonstances, c’est à juste titre que la réclamation a été déclarée irrecevable, même si l’intéressé avait pris les mesures nécessaires pour faire suivre son courrier pendant son absence.</w:t>
      </w:r>
    </w:p>
    <w:p>
      <w:r>
        <w:rPr>
          <w:b/>
        </w:rPr>
        <w:t>E. 6</w:t>
      </w:r>
    </w:p>
    <w:p>
      <w:r>
        <w:t>Au vu de ce qui précède, le recours sera rejeté.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