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ATA/676/2020 vom 21. Juli 2020</w:t>
      </w:r>
    </w:p>
    <w:p>
      <w:r>
        <w:t>GE Cour de justice, 2020-07-21, FR</w:t>
      </w:r>
    </w:p>
    <w:p>
      <w:r>
        <w:rPr>
          <w:b/>
        </w:rPr>
        <w:t xml:space="preserve">Quelle: </w:t>
      </w:r>
      <w:r>
        <w:t>https://mcp.opencaselaw.ch/entscheid/ge_gerichte_ATA_676_2020</w:t>
      </w:r>
    </w:p>
    <w:p>
      <w:r>
        <w:t>FR: GE_GERICHTE ATA/676/2020 du 21 juillet 2020</w:t>
      </w:r>
    </w:p>
    <w:p>
      <w:r>
        <w:t>IT: GE_GERICHTE ATA/676/2020 del 21 luglio 2020</w:t>
      </w:r>
    </w:p>
    <w:p>
      <w:pPr>
        <w:pStyle w:val="Heading2"/>
      </w:pPr>
      <w:r>
        <w:t>Regeste</w:t>
      </w:r>
    </w:p>
    <w:p>
      <w:r>
        <w:t>Résumé: Confirmation de l’adjudication d’un marché de construction en faveur de l’appelée en cause, qui a démontré, dans son dossier, être plus apte que la recourante à exécuter les travaux demandés au regard des références fournies et de son organisation. Évaluation des offres effectuée de manière conforme au droit et non arbitraire par l’autorité adjudicatrice. Rejet du recours.</w:t>
      </w:r>
    </w:p>
    <w:p>
      <w:pPr>
        <w:pStyle w:val="Heading2"/>
      </w:pPr>
      <w:r>
        <w:t>Erwägungen</w:t>
      </w:r>
    </w:p>
    <w:p>
      <w:r>
        <w:rPr>
          <w:b/>
        </w:rPr>
        <w:t>E. 46</w:t>
      </w:r>
    </w:p>
    <w:p>
      <w:r>
        <w:t>RMP), se pose la question de l’intérêt digne de protection de la recourante au maintien du recours.</w:t>
      </w:r>
    </w:p>
    <w:p>
      <w:r>
        <w:t>b. La qualité pour recourir en matière de marchés publics se définit en fonction des critères de l’art. 60 al. 1 let. a et b de la loi sur la procédure administrative du 12 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(ATA/1389/2019 du 17 septembre 2019 consid. 2a).</w:t>
      </w:r>
    </w:p>
    <w:p>
      <w:r>
        <w:t>- 8/14 - A/3713/2019</w:t>
      </w:r>
    </w:p>
    <w:p>
      <w:r>
        <w:t>c.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ATA/1389/2019 précité consid. 2b).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w:t>
      </w:r>
    </w:p>
    <w:p>
      <w:r>
        <w:t>d. En l’espèce, en tant que soumissionnaire évincée arrivée au deuxième rang après Belloni qui a remporté le marché, la recourante, qui a maintenu son recours à la suite de la conclusion du contrat d’entreprise, conserve un intérêt juridique à recourir contre la décision d’adjudication, son recours étant à même d’ouvrir son droit à une éventuelle indemnisation, malgré l’absence de conclusions explicites figurant dans ses écritures. Le recours est par conséquent également recevable de ce point de vue. 3)</w:t>
      </w:r>
    </w:p>
    <w:p>
      <w:r>
        <w:t>Le litige porte sur la conformité au droit de la décision d’adjudication du marché en faveur de Belloni, la recourante critiquant les notes obtenues pour les critères « références » et « organisation », qu’elle qualifie d’arbitraires et de contraires au principe d’égalité de traitement. 4) a. Le recours peut être formé pour violation du droit, y compris l’excès ou l’abus du pouvoir d’appréciation, ainsi que pour constatation inexacte ou incomplète des faits pertinents, à l’exception du grief d’inopportunité (art. 16 al. 1 et 2 AIMP ; art. 57 al. 1 et 2 RMP).</w:t>
      </w:r>
    </w:p>
    <w:p>
      <w:r>
        <w:t>b. En matière de marchés publics, le droit matériel laisse en principe une grande liberté d’appréciation au pouvoir adjudicateur, en particulier dans la phase de l’appréciation et de la comparaison des offres, y compris s’agissant de la méthode de notation, l’autorité judiciaire ne pouvant intervenir qu’en cas d’abus ou d’excès du pouvoir de décision de l’adjudicateur (ATA/1717/2019 du 26 novembre 2019 consid. 6b ; ATA/56/2018 du 23 janvier 2018 consid. 5c). 5)</w:t>
      </w:r>
    </w:p>
    <w:p>
      <w:r>
        <w:t>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w:t>
      </w:r>
    </w:p>
    <w:p>
      <w:r>
        <w:t>- 9/14 - A/3713/2019 marchés (art. 1 al. 3 let. c AIMP) et permettre l’utilisation parcimonieuse des deniers publics (art. 1 al. 3 let. d AIMP). Ces principes doivent être respectés, notamment dans la phase de passation des marchés (art. 11 AIMP).</w:t>
      </w:r>
    </w:p>
    <w:p>
      <w:r>
        <w:t>Le principe de l’égalité de traitement entre soumissionnaires oblige l’autorité adjudicatrice à traiter de manière égale les soumissionnaires tout au long du déroulement formel de la procédure (art. 16 RMP ; ATA/1413/2019 du 24 septembre 2019 consid. 3b et les références citées). 6) a. Aux termes de l’art. 24 RMP, l’autorité adjudicatrice choisit des critères objectifs, vérifiables et pertinents par rapport au marché ; elle doit les énoncer clairement et par ordre d’importance au moment de l’appel d’offres.</w:t>
      </w:r>
    </w:p>
    <w:p>
      <w:r>
        <w:t>b.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ATA/1413/2019 précité consid. 4b et les références citées).</w:t>
      </w:r>
    </w:p>
    <w:p>
      <w:r>
        <w:t>c.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Bien que les références puissent constituer un critère d’aptitude ou de qualification, elles peuvent également être utilisées comme critère d’adjudication</w:t>
      </w:r>
    </w:p>
    <w:p>
      <w:r>
        <w:t>- 10/14 - A/3713/2019 (ATF 139 II 489 consid. 2.2.4), de sorte à pouvoir faire l’objet d’une notation (ATA/1413/2019 précité consid. 5a). 7)</w:t>
      </w:r>
    </w:p>
    <w:p>
      <w:r>
        <w:t>Une décision est arbitraire au sens de l’art. 9 de la Constitution fédérale de la Confédération suisse du 18 avril 1999 (Cst. - RS 101)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144 I 170 consid. 7.3 ; arrêt du Tribunal fédéral 2C_21/2020 du 25 mai 2020 consid. 4.1).</w:t>
      </w:r>
    </w:p>
    <w:p>
      <w:r>
        <w:t>Devant la chambre de céans, le grief d'arbitraire est toutefois absorbé par ceux d'établissement inexact des faits, d'abus ou d'excès du pouvoir d'appréciation, ou de mauvaise application de la législation applicable. 8) a. En l’espèce, la recourante, qui a obtenu la note maximale de 5 pour le critère « prix », se plaint des notes obtenues pour les deux autres critères, à savoir « références » et « organisation ».</w:t>
      </w:r>
    </w:p>
    <w:p>
      <w:r>
        <w:t>b. Pour le critère « références », la recourante a obtenu la note globale de 3,95, tandis que Belloni a obtenu celle de 4,65, cette différence s’expliquant par la qualité des références présentées. En effet, il ressort des explications fournies par l’intimée que celle-ci, par l’utilisation de ce critère, voulait s’assurer que les soumissionnaires disposaient des qualités et des compétences requises pour réaliser le marché, les références devant être en adéquation avec le marché en cause et garantir l’aptitude des candidats. La ville souhaitait ainsi privilégier les entreprises disposant d’expérience dans les travaux visés par le marché, ce qui résulte déjà implicitement du dossier d’appel d’offres, pour apprécier plus favorablement une référence qui est en adéquation avec le travail qui doit être effectué, sur tous les points. Il ne s’agit toutefois pas d’un critère supplémentaire, mais d’un élément qui découle en toute logique de la notion de référence (ATA/1005/2016 du 29 novembre 2016 consid. 8). Rien n’obligeait en outre la ville à communiquer plus avant ces éléments, notamment en indiquant expressément l’existence de deux sous-critères « A » et « B » en tant qu’éléments d’appréciation des références.</w:t>
      </w:r>
    </w:p>
    <w:p>
      <w:r>
        <w:t>Dans son offre, la recourante a indiqué cinq références, pour des travaux correspondant certes à ceux visés dans l’offre mais dont les montants, pour quatre des cinq références, étaient de moindre ampleur que ceux du marché à attribuer, estimé à CHF 1'240'000.-, de sorte qu’elle s’est vu attribuer la note de 3,75, contrairement à Belloni, dont quatre des cinq références, outre le fait que les travaux en cause entraient dans la cible de ceux visés par le marché, portaient sur des montants similaires à celui-ci, de sorte à avoir obtenu la note de 4,75. Une</w:t>
      </w:r>
    </w:p>
    <w:p>
      <w:r>
        <w:t>- 11/14 - A/3713/2019 telle appréciation ne prête pas le flanc à la critique et repose sur des éléments objectifs.</w:t>
      </w:r>
    </w:p>
    <w:p>
      <w:r>
        <w:t>Le dossier d’appel d’offres mentionnait en outre que les références indiquées dans l’offre seraient vérifiées par téléphone, ce qui s’est révélé être le cas, des questions ayant été posées aux personnes mentionnées au sujet du respect du planning, de la qualité du travail accompli, du suivi des défauts, du suivi financier, de la disponibilité de l’entreprise et de la participation aux séances de chantier.</w:t>
      </w:r>
    </w:p>
    <w:p>
      <w:r>
        <w:t>Il ressort des explications fournies par la ville que pour la recourante, les personnes interrogées étaient certes globalement satisfaites de son travail, mais que certaines d’entre elles avaient relevé des défauts dans la bienfacture (références nos 1 et 2), un retard dans la livraison et des défauts (référence n° 3), un non-respect du planning et un nombre insuffisant de collaborateurs dédiés aux travaux (référence n° 5), ce qui a conduit à l’attribution de la note globale de 4 en faveur de la recourante pour le sous-critère « B ». Quoiqu’en dise celle-ci, certaines de ces réserves ressortent également des courriels qu’elle a produits. Dans ce cadre, il n’appartenait pas aux personnes interrogées de noter l’intéressée, ni à cette dernière de substituer son appréciation à celle de l’autorité, qui était seule habilitée, en fonction de la méthode qu’elle a indiqué avoir choisie pour ce faire, à évaluer les références fournies. L’évaluation à laquelle la ville s’est livrée n’apparaît ainsi arbitraire ni dans sa motivation, ni dans son résultat, Belloni ayant fourni des références permettant de démontrer qu’elle était plus apte à réaliser à satisfaction l’entier des travaux projetés que la recourante, raison pour laquelle elle a obtenu une note supérieure, soit celle de 4,63 pour le sous-critère « B », indépendamment du fait que l’une des références fournies n’ait pas pu être vérifiée en raison de la pause estivale.</w:t>
      </w:r>
    </w:p>
    <w:p>
      <w:r>
        <w:t>c. Concernant enfin le critère « organisation », la recourante a obtenu la note de 4 et Belloni la note de 4,75, dont le dossier, selon la ville, était meilleur s’agissant des effectifs dédiés au projet et du planning des travaux. Cet argument ne prête pas le flanc à la critique. Le fait que la recourante ait suivi, comme elle l’affirme, les indications figurant dans l’appel d’offres n’y change rien et n’empêchait pas l’autorité adjudicatrice de noter l’offre de Belloni de manière plus favorable si elle estimait qu’elle permettait une meilleure exécution des travaux dans le respect du planning. À ces éléments s’ajoute également le fait que la recourante, bien que n’ayant pas annoncé de sous-traitance, apparaît, selon l’organigramme remis, recourir à une entreprise tierce pour l’exécution des travaux de peinture, contrairement à Belloni. Pour ce motif également, il ne peut être reproché à la ville d’avoir accordé une meilleure note à Belloni.</w:t>
      </w:r>
    </w:p>
    <w:p>
      <w:r>
        <w:t>d. Au vu de ce qui précède, l’évaluation des offres faite par l’autorité adjudicatrice n’est constitutive d’aucun excès ou abus de son pouvoir d’appréciation, pas plus qu'elle n’est arbitraire ou contraire à l’égalité de</w:t>
      </w:r>
    </w:p>
    <w:p>
      <w:r>
        <w:t>- 12/14 - A/3713/2019 traitement, la recourante n’apportant aucun élément à l’appui de ce dernier grief. À cela s’ajoute que l’offre économiquement la plus avantageuse ne signifie pas encore qu’elle doit être la moins chère (ATA/56/2018 précité consid. 5c), de sorte que la recourante ne saurait se prévaloir du seul fait que son prix était le plus bas.</w:t>
      </w:r>
    </w:p>
    <w:p>
      <w:r>
        <w:t>Il s’ensuit que le recours sera rejeté. 9)</w:t>
      </w:r>
    </w:p>
    <w:p>
      <w:r>
        <w:t>Le contrat d’adjudication ayant été signé, Belloni, qui n’a plus d’intérêt au litige (art. 71 al. 1 LPA), sera mise hors de cause. 10) Vu l’issue du litige, et compte tenu du prononcé de la décision sur effet suspensif, un émolument de CHF 1'300.- sera mis à la charge de la recourante, qui succombe (art. 87 al. 1 LPA), et aucune indemnité de procédure ne lui sera allouée (art. 87 al. 2 LPA).</w:t>
      </w:r>
    </w:p>
    <w:p>
      <w:r>
        <w:t>Une indemnité de procédure de CHF 1'000.- sera allouée à Belloni, qui y a conclu, à la charge de la recourante. Aucune indemnité ne sera allouée à la ville, qui n’a pris aucune conclusion dans ce sens et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