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ATA/671/2012 vom 2. Oktober 2012</w:t>
      </w:r>
    </w:p>
    <w:p>
      <w:r>
        <w:t>GE Cour de justice, 2012-10-02, FR</w:t>
      </w:r>
    </w:p>
    <w:p>
      <w:r>
        <w:rPr>
          <w:b/>
        </w:rPr>
        <w:t xml:space="preserve">Quelle: </w:t>
      </w:r>
      <w:r>
        <w:t>https://mcp.opencaselaw.ch/entscheid/ge_gerichte_ATA_671_2012</w:t>
      </w:r>
    </w:p>
    <w:p>
      <w:r>
        <w:t>FR: GE_GERICHTE ATA/671/2012 du 2 octobre 2012</w:t>
      </w:r>
    </w:p>
    <w:p>
      <w:r>
        <w:t>IT: GE_GERICHTE ATA/671/2012 del 2 ottobre 2012</w:t>
      </w:r>
    </w:p>
    <w:p>
      <w:pPr>
        <w:pStyle w:val="Heading2"/>
      </w:pPr>
      <w:r>
        <w:t>Regeste</w:t>
      </w:r>
    </w:p>
    <w:p>
      <w:r>
        <w:t>Résumé: Une société à responsabilité limitée, qui dirige et exploite une station-service, ne constitue pas une entreprise familiale dès lors qu'il ne peut y avoir de lien de famille entre une personne morale et les personnes physiques qu'elle emploie. La structure de personne morale est incompatible avec le statut d'entreprise familiale au sens de l'art. 4 LTr. Une société à responsabilité limitée est par conséquent astreinte au respect du principe de l'interdiction du travail dominical. Confirmation de la jurisprudence de la chambre administrative suite à un recours consécutif à une demande de reconsidération.</w:t>
      </w:r>
    </w:p>
    <w:p>
      <w:pPr>
        <w:pStyle w:val="Heading2"/>
      </w:pPr>
      <w:r>
        <w:t>Erwägungen</w:t>
      </w:r>
    </w:p>
    <w:p>
      <w:r>
        <w:rPr>
          <w:b/>
        </w:rPr>
        <w:t>E. 12</w:t>
      </w:r>
    </w:p>
    <w:p>
      <w:r>
        <w:t>septembre 1985 - LPA - E 5 10). 2) a. La décision querellée a été rendue suite à une demande de réexamen de la décision du 5 juillet 2012 de l’OCIRT.</w:t>
      </w:r>
    </w:p>
    <w:p>
      <w:r>
        <w:t>b. Selon l’art. 50 al. 2 LTr, les décisions peuvent être modifiées ou rapportées en tout temps si les faits qui les ont motivées viennent à se modifier.</w:t>
      </w:r>
    </w:p>
    <w:p>
      <w:r>
        <w:t>c. D’après l’art. 48 al. 1 LPA, les demandes en reconsidération de décisions prises par les autorités administratives sont recevables lorsque : un motif de révision au sens de l’article 80, lettres a et b, existe (let. a) ; les circonstances se sont modifiées dans une mesure notable depuis la première décision (let. b). L’art. 48 al. 2 LPA prévoit que les demandes n’entraînent ni interruption de délai ni effet suspensif.</w:t>
      </w:r>
    </w:p>
    <w:p>
      <w:r>
        <w:t>d. Il y a lieu à révision lorsque, dans une affaire réglée par une décision définitive, il apparaît qu’un crime ou un délit, établi par une procédure pénale ou d’une autre manière, a influencé la décision (art. 80 let. a LPA) ; ou que des faits ou des moyens de preuve nouveaux et importants existent, que le recourant ne pouvait connaître ou invoquer dans la procédure précédente (art. 80 let. b LPA).</w:t>
      </w:r>
    </w:p>
    <w:p>
      <w:r>
        <w:t>e. D’après la jurisprudence du Tribunal administratif fédéral rendue dans le cadre de la loi fédérale sur la procédure administrative du 20 décembre 1968 (PA - RS 172.021), une demande de reconsidération peut revêtir deux formes. Une demande de réexamen qualifiée, à savoir lorsqu'une décision n'a pas fait l'objet d'un recours (ou que le recours interjeté contre celle-ci a été déclaré irrecevable) et que le requérant invoque un des motifs de révision prévus, ou une demande d'adaptation, à savoir lorsque le requérant se prévaut d'un changement notable de circonstances depuis le prononcé de la décision concernée ou, lorsque la décision a fait l'objet d'un arrêt matériel sur recours, depuis le prononcé de cet arrêt.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Celle-ci doit être suffisamment motivée, en ce sens que l'intéressé ne peut pas se contenter d'alléguer l'existence d'un changement notable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 Une demande de nouvel examen ne saurait servir à remettre continuellement en question des</w:t>
      </w:r>
    </w:p>
    <w:p>
      <w:r>
        <w:t>- 8/10 - A/660/2012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(Arrêt du Tribunal administratif fédéral E-4355/2012 du 31 août 2012). 3)</w:t>
      </w:r>
    </w:p>
    <w:p>
      <w:r>
        <w:t>En l’espèce, la recourante a demandé à l’OCIRT le réexamen de la décision du 5 juillet 2011 en invoquant que depuis l’arrêt du 20 décembre 2011 de la chambre administrative (ATA/782/2011) son capital social était passé en mains de la famille X______ et que Y______ AG n’avait plus de pouvoir de la représenter. Elle a en outre prétendu que l’arrêt susmentionné de la chambre administrative lui avait dénié la qualité d’entreprise familiale du fait que Y______ AG avait des parts sociales dans son capital social et pouvait la représenter.</w:t>
      </w:r>
    </w:p>
    <w:p>
      <w:r>
        <w:t>Dans sa décision du 13 février 2012, l’OCIRT a estimé qu’aucune condition susceptible d’entraîner une reconsidération n’était réalisée. Le nouvel élément invoqué par la recourante, soit le fait que la société X______ GmbH était dorénavant uniquement en mains de la famille X______ et que Y______ AG ne détenait désormais plus aucune participation dans la société, n’était pas un élément pertinent à même d’influer sur le contenu de la décision du 5 juillet 2011. 4)</w:t>
      </w:r>
    </w:p>
    <w:p>
      <w:r>
        <w:t>Le dossier de la cause ne laissant apparaître aucun motif de révision au sens de l’art. 48 al. 1 let. a LPA, il convient dès lors d’examiner si la situation de la société s’est modifiée dans une mesure notable depuis la décision du 5 juillet 2011, de sorte que l’OCIRT devait entrer en matière sur la demande de reconsidération en cause.</w:t>
      </w:r>
    </w:p>
    <w:p>
      <w:r>
        <w:t>En effet, nonobstant les termes utilisés malencontreusement par l’OCIRT, qui parle de « constatation », sa décision du 13 février 2012 constitue une non- entrée en matière, de sorte que la recourante ne peut invoquer auprès de la chambre de céans que l'absence de prise en compte par l'OCIRT du fait nouveau qu'elle invoque. 5)</w:t>
      </w:r>
    </w:p>
    <w:p>
      <w:r>
        <w:t>Dans son arrêt du 20 décembre 2011, la chambre de céans est arrivée à la conclusion que l’interprétation de l’OCIRT - qui déduisait de l’art. 4 LTr que la recourante n’était pas une entreprise familiale au sens de cette disposition dans la mesure où elle était constituée en société à responsabilité limitée - était fondée (ATA/782/2011 précité, consid. 12 à 14). Le fait que la recourante n’appartienne pas exclusivement à M. X______, mais que Y______ AG en était copropriétaire et que le manque d’indépendance et d’autonomie de M. X______ dans la gestion de la recourante ne faisait aucun doute, ne venait que renforcer cette conclusion. 6)</w:t>
      </w:r>
    </w:p>
    <w:p>
      <w:r>
        <w:t>Au cours de la présente procédure, la recourante n’a donc apporté aucun motif nouveau important susceptible de justifier une reconsidération. Ainsi, elle</w:t>
      </w:r>
    </w:p>
    <w:p>
      <w:r>
        <w:t>- 9/10 - A/660/2012 demeure inscrite au registre du commerce du canton de Lucerne en tant que société à responsabilité limitée ; or c'est cette structure de personne morale qui est incompatible avec le statut d’entreprise familiale au sens de l’art. 4 LTr. La chambre de céans n’a au surplus aucun motif de s’écarter des principes qu’elle a elle-même retenus dans la jurisprudence précitée, et qui viennent d’être confirmés dans un arrêt récent (ATA/626/2012 du 18 septembre 2012, consid. 6). 7)</w:t>
      </w:r>
    </w:p>
    <w:p>
      <w:r>
        <w:t>Dans ces conditions, les autres griefs de la recourante, qui étaient déjà connus lors du premier recours, portant notamment sur la violation de sa liberté économique et les assurances que lui aurait données le SECO quant à sa qualité d’entreprise familiale constituée en société à responsabilité limitée, n'ont pas à être examinés. 8)</w:t>
      </w:r>
    </w:p>
    <w:p>
      <w:r>
        <w:t>Le prononcé du présent arrêt rend la demande de mesures provisionnelles sans objet, étant rappelé au surplus la teneur de l'art. 48 al. 2 LPA, qui prévoit que les demandes n’entraînent ni interruption de délai ni effet suspensif. 9)</w:t>
      </w:r>
    </w:p>
    <w:p>
      <w:r>
        <w:t>Mal fondé, le recours sera rejeté.</w:t>
      </w:r>
    </w:p>
    <w:p>
      <w:r>
        <w:t>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