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ATA/670/2023 vom 20. Juni 2023</w:t>
      </w:r>
    </w:p>
    <w:p>
      <w:r>
        <w:t>GE Cour de justice, 2023-06-20, FR</w:t>
      </w:r>
    </w:p>
    <w:p>
      <w:r>
        <w:rPr>
          <w:b/>
        </w:rPr>
        <w:t xml:space="preserve">Quelle: </w:t>
      </w:r>
      <w:r>
        <w:t>https://mcp.opencaselaw.ch/entscheid/ge_gerichte_ATA_670_2023</w:t>
      </w:r>
    </w:p>
    <w:p>
      <w:r>
        <w:t>FR: GE_GERICHTE ATA/670/2023 du 20 juin 2023</w:t>
      </w:r>
    </w:p>
    <w:p>
      <w:r>
        <w:t>IT: GE_GERICHTE ATA/670/2023 del 20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Bien que la sanction ait été exécutée, le recourant conserve un intérêt actuel à l'examen de la légalité de celles-ci, dès lors qu'il pourrait être tenu compte des sanctions contestées en cas de nouveau problème disciplinaire ou de demande de libération conditionnelle (ATF 139 I 206 consid. 1.1 ; ATA/498/2022 du 11 mai 2022 consid. 2 ; ATA/50/2022 du 18 janvier 2022 consid. 2). Le recours est donc recevable, sous réserve de ce qui suit. En tant que le recourant fait valoir qu’il subirait des actes de malveillance de la part des gardiens, ses griefs sont irrecevables. L’objet de la présente procédure est limité à la question du bien-fondé de la sanction de trois jours de cellule forte, qui lui a été infligée. La présente procédure ne peut donc s’étendre à d’autres questions, étant relevé que la chambre de céans n’est pas une autorité de surveillance, mais de recours. 3. Le recourant sollicite différents actes d’instruction. 3.1 Tel qu'il est garanti par l'art. 29 al. 2 de la Constitution fédérale de la Confédération suisse du 18 avril 1999 (Cst. - RS 101) et l’art. 41 LPA,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w:t>
      </w:r>
    </w:p>
    <w:p>
      <w:r>
        <w:t>- 7/13 - A/364/2023 d'être entendu oralement ni celui de faire entendre des témoins (ATF 134 I 140 consid. 5.3 ; 130 II 425 consid. 2.1). 3.2 Les parties et leurs mandataires sont seuls admis à consulter au siège de l’autorité les pièces du dossier destinées à servir de fondement à la décision. Le droit d’accéder à leurs données personnelles que les personnes tierces peuvent déduire de la loi sur l’information du public, l’accès aux documents et la protection des données personnelles du 5 octobre 2001 (LIPAD - A 2 08) est réservé (art. 44 al. 1 LPA). L’autorité délivre copie des pièces contre émolument ; elle peut également percevoir un émolument pour la consultation des pièces d’une affaire liquidée (art. 44 al. 4 LPA). 3.3 En l'espèce, le recourant a eu l’occasion de faire valoir son point de vue tout au long de la procédure devant la chambre de céans dans son recours. Il a, en outre, pu produire toutes les pièces qu’il estimait utiles. Il n’explique pas en quoi son audition permettrait d’apporter des éléments autres que ses allégations. Il n’y a donc pas lieu de procéder à son audition. Il ne sera pas non plus fait droit à la demande d’audition des agents de détention ayant rédigé le rapports d’incident, ayant assisté aux faits reprochés ou entendu le recourant avant le prononcé des sanctions querellées au vu de ce qui sera développé ci-après. Il a d’ores et déjà été fait droit à la demande du recourant de prendre connaissance du rapport d’incident non caviardé, et l’autorité intimée a produit l’ensemble des sanctions non caviardées prononcées à son endroit depuis le 4 mars 2022. Le recourant a également pu consulter les rapports d’incident non-caviardés relatifs aux sanctions prononcées depuis août 2022 dans la procédure A/3097/2022. Ces points sont donc devenus sans objet. La production des sanctions disciplinaires dont le recourant a été l’objet entre le 29 janvier et le 20 mai 2021 n’est pas pertinente, celles-ci ne faisant pas l’objet de la présente procédure, d’une part, et la sanction querellée ne se référant, de manière détaillée, qu’aux sanctions relatives au « séjour actuel » du recourant à la prison, soit à la période postérieure au 4 mars 2022. La production par la prison de l’ensemble des sanctions disciplinaires prononcées, les cinq dernières années, à l’encontre de personnes détenues pour injures envers le personnel et attitude incorrecte envers le personnel n’est pas pertinente, chaque sanction devant tenir compte de l’ensemble des circonstances, y compris des antécédents disciplinaires des détenus, de sorte que la production de ces sanctions ne serait pas de nature à apporter un éclairage pertinent pour la solution du litige. L’ordre de service relatif à la délégation de compétence pour prononcer une sanction de trois jours de cellule forte ressort de la jurisprudence constante de la chambre administrative (consid. 5 ci-après), dûment publiée, de sorte que le</w:t>
      </w:r>
    </w:p>
    <w:p>
      <w:r>
        <w:t>- 8/13 - A/364/2023 recourant est supposé en avoir connaissance. Il en va de même des conditions auxquelles un détenu peut être placé en cellule forte avant qu’une décision soit prise (consid. 4 ci-dessous). Il n’y a donc pas lieu non plus d’ordonner la production de l’ordre de service ou de notes internes à cet égard. Par ailleurs, il ressort du courrier de l’autorité intimée au conseil du recourant du 2 novembre 2022 que celui-ci pouvait venir consulter le dossier de son mandant sur place et que cette consultation était gratuite. Ainsi, il a été satisfait à sa demande de consultation du dossier personnel. Pour le surplus, la question de savoir si l’autorité intimée était fondée à réclamer un émolument pour l’établissement de copies de l’ensemble du dossier ne fait pas l’objet du présent litige, de sorte que la chambre de céans ne saurait se prononcer à ce sujet. Enfin, au vu des pièces figurant au dossier et des déterminations produites par les parties, la chambre de céans estime que le dossier est complet et lui permet de trancher le litige sans procéder à d’autres actes d’instruction. Il ne sera ainsi pas fait droit aux demandes d’actes d’instruction complémentaires. 4. Dans un grief de nature formelle, le recourant se plaint de la violation de son droit d’être entendu, estimant ne pas avoir pu s’exprimer avant que les sanctions à son endroit soient prononcées. 4.1 Comme cela vient d’être évoqué, l’art. 29 al. 2 Cst. et 41 LPA comprennent le droit pour l'intéressé de s'exprimer sur les éléments pertinents avant qu'une décision ne soit prise touchant sa situation juridique (ATF 133 I 270 consid. 3.1 ; 132 II 485 consid. 3.2). L’art. 47 al. 2 RRIP prévoit expressément qu’avant le prononcé de la sanction, le détenu doit être informé des faits qui lui sont reprochés et être entendu. 4.2 La jurisprudence de la chambre de céans admet qu'en cas d'incident nécessitant une sanction se produisant après les horaires ordinaires d'activité de la prison, par exemple après 18h00, le droit d'être entendu puisse s'exercer de manière un peu différée, soit en particulier le lendemain matin à la première heure, ceci en raison des besoins du service, notamment dans les cas où l'autorité décisionnaire est le directeur ou un autre membre gradé du personnel, dont le nombre est restreint dès le soir, ou en cas d’urgence (ATA/318/2020 du 31 mars 2020 consid. 4b ; ATA/1846/2019 du 20 décembre 2019 consid. 3c ; ATA/1597/2019 du 29 octobre 2019 consid. 2b ; ATA/500/2017 du 2 mai 2017 consid. 6a). 4.3 En l’espèce, les faits reprochés ont eu lieu le 31 décembre 2022, vers 15h15, soit un jour férié. Le gardien a indiqué dans son rapport du même jour que le gardien-chef adjoint avait ordonné le transfert du détenu en cellule forte à 15h35. Le même jour à 16h30, le gardien-chef adjoint a signifié la décision de placement</w:t>
      </w:r>
    </w:p>
    <w:p>
      <w:r>
        <w:t>- 9/13 - A/364/2023 en cellule forte au recourant. Selon la décision de sanction et le rapport d’incident, le recourant a pu s’exprimer le jour même à 16h25, et la sanction lui a été notifiée à 18h30. À teneur du rapport d’incident du même jour, le recourant avait reconnu les faits. Au vu de ce qui précède, le recourant a pu se déterminer sur la sanction litigieuse peu après avoir été conduit en cellule forte. Par ailleurs, il a pu, dans le cadre du présent recours, assisté d’un avocat, faire valoir sa version des faits et ses arguments. Ainsi, quand bien même une violation de son droit d’être entendu aurait dû être admise, celle-ci aurait été réparée dans la procédure de recours. Le grief sera donc rejeté.</w:t>
      </w:r>
    </w:p>
    <w:p>
      <w:r>
        <w:rPr>
          <w:b/>
        </w:rPr>
        <w:t>E. 5</w:t>
      </w:r>
    </w:p>
    <w:p>
      <w:r>
        <w:t>Le recourant conteste la compétence des personnes ayant prononcé la sanction, en tirant un grief de nullité.</w:t>
      </w:r>
    </w:p>
    <w:p>
      <w:r>
        <w:rPr>
          <w:b/>
        </w:rPr>
        <w:t>E. 5.1</w:t>
      </w:r>
    </w:p>
    <w:p>
      <w:r>
        <w:t>À teneur de l'art. 47 al. 3 RRIP, le directeur ou, en son absence, son suppléant sont compétents pour prononcer, notamment, le placement en cellule forte pour dix jours au plus (let. g). Le directeur peut déléguer ces compétences à un membre du personnel gradé (art. 47 al. 7 RRIP). L'art. 47 al. 7 RRIP prévoit que le directeur peut déléguer la compétence de prononcer les sanctions prévues à l'al. 3 à d'autres membres du personnel gradé. Les modalités de la délégation sont prévues dans un ordre de service. L'ordre de service B 24 de la prison prévoit une telle délégation pour le placement en cellule forte de un à cinq jours en faveur du membre « consigné » de la direction (ATA/1115/2022 du 4 novembre 2022 consid. 4c ; ATA/498/2022 du 11 mai 2022 consid. 5c ; ATA/784/2021 du 27 juillet 2021 consid. 2c ; ATA/1631/2017 du 19 décembre 2017 consid. 3).</w:t>
      </w:r>
    </w:p>
    <w:p>
      <w:r>
        <w:rPr>
          <w:b/>
        </w:rPr>
        <w:t>E. 5.2</w:t>
      </w:r>
    </w:p>
    <w:p>
      <w:r>
        <w:t>En l’espèce, la décision de placement en cellule forte a été prises par un gardien-chef adjoint, selon le rapport d’incident, notamment les indications figurant sous « décision ou commentaire » de celui-ci, puis ratifiée formellement le même jour par le directeur et un autre gardien-chef adjoint. La décision a donc été prise par les personnes habilitées à la prononcer. Le grief sera ainsi également rejeté.</w:t>
      </w:r>
    </w:p>
    <w:p>
      <w:r>
        <w:rPr>
          <w:b/>
        </w:rPr>
        <w:t>E. 6</w:t>
      </w:r>
    </w:p>
    <w:p>
      <w:r>
        <w:t>Le recourant conteste les faits reprochés.</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w:t>
      </w:r>
    </w:p>
    <w:p>
      <w:r>
        <w:t>- 10/13 - A/364/2023 proportionnalité (Pierre MOOR/Étienne POLTIER, Droit administratif, vol. 2, 3ème éd., 2011, p. 142 à 145 et la jurisprudence citée). Les sanctions disciplinaires sont régies par les principes généraux du droit pénal, de sorte qu'elles ne sauraient être prononcées en l'absence d'une faute (ATA/412/2022 du 13 avril 2022 consid. 4a ; ATA/43/2019 du 15 janvier 2019 ; ATA/1108/2018 du 17 octobre 2018 et les références citées).</w:t>
      </w:r>
    </w:p>
    <w:p>
      <w:r>
        <w:rPr>
          <w:b/>
        </w:rPr>
        <w:t>E. 6.2</w:t>
      </w:r>
    </w:p>
    <w:p>
      <w:r>
        <w:t>Le statut des personnes incarcérées à la prison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w:t>
      </w:r>
    </w:p>
    <w:p>
      <w:r>
        <w:rPr>
          <w:b/>
        </w:rPr>
        <w:t>E. 6.3</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(ATA/219/2020 du 25 février 2020 consid. 6d et la référence citée).</w:t>
      </w:r>
    </w:p>
    <w:p>
      <w:r>
        <w:rPr>
          <w:b/>
        </w:rPr>
        <w:t>E. 6.4</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w:t>
      </w:r>
    </w:p>
    <w:p>
      <w:r>
        <w:rPr>
          <w:b/>
        </w:rPr>
        <w:t>E. 6.5</w:t>
      </w:r>
    </w:p>
    <w:p>
      <w:r>
        <w:t>Dans sa jurisprudence, la chambre administrative a confirmé la sanction de deux jours de cellule forte pour injures, consistant à dire à un autre détenu « oui ces fils de pute » en se référant aux agents de détention, a été confirmée, le détenu ayant déjà fait l’objet de trois précédentes sanctions (ATA/383/2021 du 30 mars 2021 consid. 5). Elle a également confirmé la sanction de trois jours de cellule forte pour injures (« Regardez leur grade, ils sont rien, c'est même pas des merdes, c'est des sous-merdes ! ».), adressées au personnel (ATA/1483/2019 du 8 octobre 2019).</w:t>
      </w:r>
    </w:p>
    <w:p>
      <w:r>
        <w:rPr>
          <w:b/>
        </w:rPr>
        <w:t>E. 6.6</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w:t>
      </w:r>
    </w:p>
    <w:p>
      <w:r>
        <w:t>- 11/13 - A/364/2023 (art. 19 de la loi sur l'organisation des établissements et le statut du personnel pénitentiaire du 3 novembre 2016 - LOPP - F 1 50), le même raisonnement peut être appliqué aux rapports établis par ces derniers (ATA/284/2020 précité consid. 4f et les références citées).</w:t>
      </w:r>
    </w:p>
    <w:p>
      <w:r>
        <w:rPr>
          <w:b/>
        </w:rPr>
        <w:t>E. 7</w:t>
      </w:r>
    </w:p>
    <w:p>
      <w:r>
        <w:t>Il convient d’examiner ci-après le bien-fondé de la sanction contestée à l’aune des principes qui viennent d’être énoncés.</w:t>
      </w:r>
    </w:p>
    <w:p>
      <w:r>
        <w:rPr>
          <w:b/>
        </w:rPr>
        <w:t>E. 7.1</w:t>
      </w:r>
    </w:p>
    <w:p>
      <w:r>
        <w:t>À titre préalable, il est relevé que, contrairement à ce que soutient le recourant, aucun élément ne permet de retenir qu’il serait vraisemblable que les agents de détention se seraient unis pour le « pousser à la faute ». Comme cela a été exposé dans l’arrêt du 14 juin 2023, les rapports d’incident ont été rédigés par les agents de détention ayant été immédiatement témoins des faits reprochés au recourant. Par ailleurs, contrairement aux affirmations du recourant, il n’apparaît pas que ce soit systématiquement le même agent de détention qui ait rapporté les faits sanctionnés ni que les agents présents lors des incidents étaient toujours ou souvent les mêmes. Cet arrêt cite le nom des auteurs des rapports d’incident, témoins directs de ceux-ci. L’agent de détention auteur du rapport d’incident de la décision présentement querellé n’est pas l’auteur des précédents rapports d’incident. En outre, les agents F______ et G______, dont la plainte à l’encontre du recourant a été rejetée par la CPAR, n’ont pas établi le rapport d’incident du 31 décembre 2022 ni été présents lors de cet incident. Seul le personnel consigné, membre de la direction, étant habilité à prononcer une sanction de cellule forte et le nombre de ceux-ci étant limité, de sorte que le seul fait que les décisions de sanctions sont souvent signées par le même gardien-chef adjoint ne permet pas d’en tirer une conclusion de prévention à l’égard du recourant. Ainsi, aucun indice ne rend vraisemblable que les agents de détention feraient preuve d’une attitude hostile à l’égard du recourant ou se seraient concertés pour le provoquer et le « pousser à la faute ». En l’absence de tels indices, il n’y a pas lieu de procéder à l’audition de agents de détention ayant rédigé le rapport d’incident, été témoins des faits sanctionnés ou participé à la prise de la décision querellée.</w:t>
      </w:r>
    </w:p>
    <w:p>
      <w:r>
        <w:rPr>
          <w:b/>
        </w:rPr>
        <w:t>E. 7.2</w:t>
      </w:r>
    </w:p>
    <w:p>
      <w:r>
        <w:t>Selon le rapport d’incident, le recourant a tenu les propos suivant lors du contrôle par le magnétomètre : « Voilà ma casquette, qui représente toutes vos têtes d’enculés, j’encule vos mères et la tienne aussi. J’encule ta sœur, tes frères, tes tantes et toute ta famille » ainsi que « Et je me branle sur toi, je te gicle dessus, pétasse ». Il ne conteste pas qu’il a échangé des propos avec le personnel lors dudit contrôle, soutenant cependant qu’il avait uniquement dit « têtes de malades » aux agents de détention, qui l’avaient insulté. Certes, les images de vidéosurveillance ne comportent pas le son, contrairement à celles prises par les « bodycam » uniquement utilisées lors de la mise en cellule forte et de la fouille y relative. Cela étant, les explications données par le recourant quant aux propos qu’il a tenus ne permettent pas de remettre en cause les termes qui ressortent du rapport d’incident, établi par un agent de détention assermenté.</w:t>
      </w:r>
    </w:p>
    <w:p>
      <w:r>
        <w:t>- 12/13 - A/364/2023 L’existence d’une infraction objective au règlement est établie, si bien que les griefs de constatation inexacte des faits et d'inexistence d'un comportement illicite seront écartés.</w:t>
      </w:r>
    </w:p>
    <w:p>
      <w:r>
        <w:rPr>
          <w:b/>
        </w:rPr>
        <w:t>E. 7.3</w:t>
      </w:r>
    </w:p>
    <w:p>
      <w:r>
        <w:t>Le comportement consistant à s’en prendre verbalement et grossièrement à des agents de détention est contraire au devoir d’observer une attitude correcte à l'égard du personnel pénitentiaire et est susceptible de troubler l'ordre et la tranquillité de l'établissement. De ce fait, le recourant a violé ses obligations de détenu, telles que figurant aux art. 42 ss RRIP, en particulier aux art. 44 et 45 let. h RRIP. Il s'ensuit que l'autorité intimée était fondée à le sanctionner pour ces faits. S'il est vrai que le placement en cellule forte constitue la sanction la plus sévère mentionnée à l'art. 47 al. 3 RRIP, il n'en demeure pas moins que le recourant, à teneur du dossier, a fait l’objet de nombreuses sanctions auparavant, y compris pour injures. L'autorité intimée était dès lors fondée à faire preuve de sévérité en lui infligeant, pour ces faits, une sanction de trois jours de cellule forte, dont la quotité se situe au demeurant au bas de la fourchette, étant rappelé que le placement en cellule forte peut être prononcé pour dix jours au plus. Compte tenu de l'ensemble de ces éléments, la proportionnalité du genre comme de la quotité de la sanction choisie ne prête pas le flanc à la critique. L'autorité intimée n'a ni violé la loi ni abusé de son pouvoir d'appréciation, en prononçant le placement du recourant en cellule forte pour trois jours. Le recours sera donc rejeté.</w:t>
      </w:r>
    </w:p>
    <w:p>
      <w:r>
        <w:rPr>
          <w:b/>
        </w:rPr>
        <w:t>E. 8</w:t>
      </w:r>
    </w:p>
    <w:p>
      <w:r>
        <w:t>Au vu de la nature du litige et de son issue,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