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ATA/670/2020 vom 15. Juli 2020</w:t>
      </w:r>
    </w:p>
    <w:p>
      <w:r>
        <w:t>GE Cour de justice, 2020-07-15, FR</w:t>
      </w:r>
    </w:p>
    <w:p>
      <w:r>
        <w:rPr>
          <w:b/>
        </w:rPr>
        <w:t xml:space="preserve">Quelle: </w:t>
      </w:r>
      <w:r>
        <w:t>https://mcp.opencaselaw.ch/entscheid/ge_gerichte_ATA_670_2020</w:t>
      </w:r>
    </w:p>
    <w:p>
      <w:r>
        <w:t>FR: GE_GERICHTE ATA/670/2020 du 15 juillet 2020</w:t>
      </w:r>
    </w:p>
    <w:p>
      <w:r>
        <w:t>IT: GE_GERICHTE ATA/670/2020 del 15 luglio 2020</w:t>
      </w:r>
    </w:p>
    <w:p>
      <w:pPr>
        <w:pStyle w:val="Heading2"/>
      </w:pPr>
      <w:r>
        <w:t>Erwägungen</w:t>
      </w:r>
    </w:p>
    <w:p>
      <w:r>
        <w:rPr>
          <w:b/>
        </w:rPr>
        <w:t>E. 6</w:t>
      </w:r>
    </w:p>
    <w:p>
      <w:r>
        <w:t>Vu l’issue du litige, un émolument de CHF 500.- sera mis à la charge conjointe et solidaire des recourants (art. 87 al. 1 LPA), et aucune indemnité de procédure ne leur sera allouée, pas plus qu’à l’intimé qui dispose de son propre service juridique (art. 87 al. 2 LPA). * * * * *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