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ATA/668/2024 vom 4. Juni 2024</w:t>
      </w:r>
    </w:p>
    <w:p>
      <w:r>
        <w:t>GE Cour de justice, 2024-06-04, FR</w:t>
      </w:r>
    </w:p>
    <w:p>
      <w:r>
        <w:rPr>
          <w:b/>
        </w:rPr>
        <w:t xml:space="preserve">Quelle: </w:t>
      </w:r>
      <w:r>
        <w:t>https://mcp.opencaselaw.ch/entscheid/ge_gerichte_ATA_668_2024</w:t>
      </w:r>
    </w:p>
    <w:p>
      <w:r>
        <w:t>FR: GE_GERICHTE ATA/668/2024 du 4 juin 2024</w:t>
      </w:r>
    </w:p>
    <w:p>
      <w:r>
        <w:t>IT: GE_GERICHTE ATA/668/2024 del 4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jugement confirmant la décision de l'OCPM de refuser de transmettre au SEM le dossier des recourants avec un préavis favorable, et prononçant leur renvoi de Suisse.</w:t>
      </w:r>
    </w:p>
    <w:p>
      <w:r>
        <w:rPr>
          <w:b/>
        </w:rPr>
        <w:t>E. 2.1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1er janvier 2019 sont régies par l’ancien droit.</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w:t>
      </w:r>
    </w:p>
    <w:p>
      <w:r>
        <w:t>- 8/14 - A/998/2023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(ATA/365/2024 du 12 mars 2024 consid. 2.5 ; arrêt du Tribunal administratif fédéral [TAF] F-1700/2022 du 10 janvier 2024 consid. 7.5).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w:t>
      </w:r>
    </w:p>
    <w:p>
      <w:r>
        <w:t>- 9/14 - A/998/2023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du 20 novembre 1989 (CDE - RS 0.107 ; arrêts du Tribunal fédéral 2A.679/2006 du 9 février 2007 consid. 3 et 2A.43/2006 du 31 mai 2006 consid. 3.1 ; ATA/434/2020 du 31 avril 2020 consid. 10). 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2.4</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Ces conditions devaient être remplies au moment du dépôt de la demande d’autorisation de séjour (ATA/121/2021 du 2 février 2021 consid. 8b).</w:t>
      </w:r>
    </w:p>
    <w:p>
      <w:r>
        <w:rPr>
          <w:b/>
        </w:rPr>
        <w:t>E. 2.5</w:t>
      </w:r>
    </w:p>
    <w:p>
      <w:r>
        <w:t>En l’espèce, le recourant ne remplit pas la condition de l’absence de condamnation pénale exigée dans le cadre de l’« Opération Papyrus », étant précisé que la condamnation pour faux dans les titres ne relève pas d’une infraction à la LEI. Quant à son épouse, arrivée en Suisse en 2014, son séjour n’atteignait pas les</w:t>
      </w:r>
    </w:p>
    <w:p>
      <w:r>
        <w:t>- 10/14 - A/998/2023 cinq ans requis pour prétendre à l’obtention d’un titre pour les membres de la famille au moment du dépôt de leur demande d’autorisation de séjour le 23 octobre 2017. Elle ne remplit donc pas non plus les conditions pour bénéficier de l’« Opération Papyrus ». Sous l’angle du cas de rigueur, le recourant peut certes se prévaloir d’un séjour de longue durée. Les pièces au dossier, en particulier l’attestation d’achats d’abonnements des TPG et son extrait de compte individuel AVS, permettent de retenir une présence continue du recourant depuis, tout au plus, avril 2012. L’intégralité de ce séjour s’est toutefois déroulée dans l’illégalité, voire, depuis sa demande de régularisation, au bénéfice d’une simple tolérance. Or, conformément à la jurisprudence précitée, la durée d'un séjour illégal, ainsi qu'un séjour précaire, ne doivent normalement pas être pris en considération, ou seulement dans une mesure très restreinte. Il y a donc lieu d'examiner si des critères d'évaluation autres que la seule durée du séjour en Suisse seraient de nature à faire admettre qu'un départ de ce pays placerait l'intéressé dans une situation excessivement rigoureuse. Tel n’est toutefois pas le cas en l’occurrence. Le recourant n’établit pas qu’il aurait réalisé une intégration professionnelle exceptionnelle. Il a certes travaillé, n’a pas recouru à l’aide sociale et ne fait l’objet d’aucune poursuite ou actes de défaut de biens. Il ne soutient toutefois pas avoir acquis en Suisse des connaissances si spécifiques qu’il ne pourrait les mettre en œuvre ailleurs. Il n’établit pas non plus s’être investi dans la vie associative, culturelle ou sportive de la Suisse. La lettre de soutien produite au dossier ne permet pas de mettre en évidence une intégration exceptionnelle, étant rappelé qu'il est normal qu'une personne ayant effectué un séjour prolongé dans un pays tiers s'y soit créé des attaches et se soit familiarisée avec le mode de vie de ce pays. Il a certes démontré qu’il disposait d’un niveau de français A2. Or, lors de son audition devant la police le 14 août 2020, un interprète a cependant été nécessaire, alors même qu’il est retenu qu’il était en Suisse depuis 2012. Enfin, il a fait l’objet d’une condamnation pénale, pour avoir cherché à tromper l’OCPM. Cet élément trahit un mépris certain pour l’ordre juridique suisse qui exclut à lui seul une intégration, a fortiori exceptionnelle, et partant la réalisation d’un cas de rigueur. Dans la mesure où ladite condamnation est définitive, le recourant n’ayant pas formé opposition à l’ordonnance pénale, c’est en vain qu’il cherche à contester le caractère frauduleux de son comportement, étant d’ailleurs précisé qu’il ressort de l’ordonnance pénale qu’il avait partiellement reconnu les faits reprochés. Pour le reste, il apparaît avoir gardé des liens étroits avec le Kosovo, vu ses nombreuses demandes de visa pour ce pays depuis 2018. Il y a passé son enfance, son adolescence, soit la période essentielle pour la formation de sa personnalité, ainsi que les premières années de sa vie d’adulte. Il maîtrise la langue et les codes culturels du pays. S’il se heurtera sans doute à des difficultés, il ne soutient pas que sa réintégration sera impossible et il pourra compter sur l’appui de sa famille et tirer</w:t>
      </w:r>
    </w:p>
    <w:p>
      <w:r>
        <w:t>- 11/14 - A/998/2023 profit des connaissances professionnelles et linguistiques acquises lors de son séjour en Suisse. Il en va a fortiori de même pour son épouse, qui, au vu du dossier, n’a jamais exercé d’activité lucrative en Suisse. Elle a certes démontré qu’elle disposait d’un niveau de français A2, mais n’a pas établi s’être investie dans la vie associative, culturelle ou sportive de la Suisse. Elle n’allègue pas non plus s’être créé des attaches particulières en Suisse. Les éléments au dossier, en particulier les nombreuses demandes de visa et la fiche d’accompagnement du 31 juillet 2023, laissent au contraire penser qu’elle a conservé l’essentiel de ses attaches au Kosovo, pays qu’elle a quitté alors qu’elle n’avait que 18 ans. S’agissant des enfants, tous nés en Suisse et désormais âgés de 8, 6 et bientôt 2 ans, ils ne sont pas encore entrés dans l’adolescence, période déterminante pour la formation de la personnalité. Compte tenu de son âge, C______ a sans doute créé à Genève un cercle d’amis et ses liens sociaux. Il est ainsi indéniable que sa réintégration requerra de sa part un important effort. Cependant, sa situation ne saurait être examinée pour elle seule, mais doit être appréciée au regard de l’ensemble des circonstances l’entourant. Il faut, en particulier, tenir compte du fait qu’en cas de retour au Kosovo, C______ sera accompagné de ses parents et de ses sœurs. Sa famille nucléaire sera ainsi à ses côtés, étant relevé qu’au vu de son âge, l’attachement à celle-ci demeure encore important. Il est par ailleurs en bonne santé. Dans ces conditions, sa réintégration n’apparaît pas gravement compromise. Quant à D______ et E______, également en bonne santé, elles restent encore attachées dans une large mesure à leur pays d'origine, par le biais de leurs parents. Leur processus d’intégration au milieu socioculturel en Suisse n’est ainsi pas à ce point profond et irréversible qu'un retour au Kosovo constituerait un déracinement complet. Elles pourraient, comme C______, compter sur l’aide de leur famille nucléaire pour s’adapter à leur nouveau mode de vie, la langue du pays ne devant au surplus pas leur être étrangère.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Il ne se justifie en conséquence pas de déroger aux conditions d'admission en Suisse en leur faveur, au vu de la jurisprudence très stricte en la matière. C’est partant à juste titre que tant l’autorité intimée, qui n’a pas abusé de son pouvoir d’appréciation, que le TAPI, ont retenu que les conditions d’octroi d’une autorisation de séjour n’étaient pas remplies.</w:t>
      </w:r>
    </w:p>
    <w:p>
      <w:r>
        <w:rPr>
          <w:b/>
        </w:rPr>
        <w:t>E. 3</w:t>
      </w:r>
    </w:p>
    <w:p>
      <w:r>
        <w:t>Il convient encore d’examiner si le renvoi prononcé par l’OCPM est fondé.</w:t>
      </w:r>
    </w:p>
    <w:p>
      <w:r>
        <w:rPr>
          <w:b/>
        </w:rPr>
        <w:t>E. 3.1</w:t>
      </w:r>
    </w:p>
    <w:p>
      <w:r>
        <w:t>Selon l'art. 64 al. 1 let. c LEI, l'autorité compétente rend une décision de renvoi ordinaire à l'encontre d'un étranger auquel l'autorisation de séjour est refusée ou</w:t>
      </w:r>
    </w:p>
    <w:p>
      <w:r>
        <w:t>- 12/14 - A/998/2023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3.2</w:t>
      </w:r>
    </w:p>
    <w:p>
      <w:r>
        <w:t>En l'espèce, dès lors qu'il a, à juste titre, refusé l’octroi d’une autorisation de séjour en faveur des recourants, l'intimé devait prononcer leur renvoi. Les recourants n’invoquent aucun élément permettant de retenir que leur renvoi ne serait pas possible, licite ou ne pourrait raisonnablement être exigé ; de tels éléments ne ressortent pas non plus du dossier. Mal fondé, le recours sera rejeté.</w:t>
      </w:r>
    </w:p>
    <w:p>
      <w:r>
        <w:rPr>
          <w:b/>
        </w:rPr>
        <w:t>E. 4</w:t>
      </w:r>
    </w:p>
    <w:p>
      <w:r>
        <w:t>Vu l'issue du recours, un émolument de CHF 400.- sera mis à la charge solidaire des recourants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