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ATA/666/2016 vom 3. August 2016</w:t>
      </w:r>
    </w:p>
    <w:p>
      <w:r>
        <w:t>GE Cour de justice, 2016-08-03, FR</w:t>
      </w:r>
    </w:p>
    <w:p>
      <w:r>
        <w:rPr>
          <w:b/>
        </w:rPr>
        <w:t xml:space="preserve">Quelle: </w:t>
      </w:r>
      <w:r>
        <w:t>https://mcp.opencaselaw.ch/entscheid/ge_gerichte_ATA_666_2016</w:t>
      </w:r>
    </w:p>
    <w:p>
      <w:r>
        <w:t>FR: GE_GERICHTE ATA/666/2016 du 3 août 2016</w:t>
      </w:r>
    </w:p>
    <w:p>
      <w:r>
        <w:t>IT: GE_GERICHTE ATA/666/2016 del 3 agosto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10 al. 2 1ère phr. LaLEtr, la chambre administrative doit statuer dans les dix jours qui suivent sa saisine. Ayant reçu le recours le 25 juillet 2016 et statuant ce jour, elle respecte ce délai.</w:t>
      </w:r>
    </w:p>
    <w:p>
      <w:r>
        <w:t>La chambre administrative est en outre compétente pour apprécier l'opportunité des décisions portées devant elle en cette matière (art. 10 al. 2 2ème phr. LaLEtr).</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La détention administrative porte une atteinte grave à la liberté personnelle et ne peut être ordonnée que dans le respect de l'art. 5 CEDH - RS 0.101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w:t>
      </w:r>
    </w:p>
    <w:p>
      <w:r>
        <w:rPr>
          <w:b/>
        </w:rPr>
        <w:t>E. 5</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rPr>
          <w:b/>
        </w:rPr>
        <w:t>E. 6</w:t>
      </w:r>
    </w:p>
    <w:p>
      <w:r>
        <w:t>En l’espèce, le recourant fait l’objet d’une décision de renvoi de Suisse définitive et exécutoire. Durant la procédure de renvoi, il a disparu à plusieurs reprises. Il n’a entreprise aucune démarche pour obtenir des documents d’identité et a déclaré de manière constante ne pas vouloir retourner en Gambie. Cette attitude permet de retenir l’existence d’un risque de fuite ou de disparition, de sorte que la mise en détention administrative sur la base de l’art. 76 al. 1 let. b ch. 3 et 4 LEtr est justifiée, ce que le recourant ne conteste pas.</w:t>
      </w:r>
    </w:p>
    <w:p>
      <w:r>
        <w:t>- 5/7 - A/2388/2016</w:t>
      </w:r>
    </w:p>
    <w:p>
      <w:r>
        <w:rPr>
          <w:b/>
        </w:rPr>
        <w:t>E. 7</w:t>
      </w:r>
    </w:p>
    <w:p>
      <w:r>
        <w:t>L’autorité administrative doit entreprendre rapidement les démarches en vue de l’exécution de la décision de renvoi (art. 76 al. 4 LEtr). En l’espèce, il ressort du dossier que les autorités suisses ont entamé les démarches en vue du refoulement de l’intéressé vers la Gambie, une place sur un vol régulier à destination de Banjul via Casablanca lui ayant été réservé pour début août 2016. Elles ont donc agi avec célérité.</w:t>
      </w:r>
    </w:p>
    <w:p>
      <w:r>
        <w:rPr>
          <w:b/>
        </w:rPr>
        <w:t>E. 8</w:t>
      </w:r>
    </w:p>
    <w:p>
      <w:r>
        <w:t>La détention administrative doit respecter le principe de la proportionnalité, garanti par l’art. 36 al. 3 Cst.</w:t>
      </w:r>
    </w:p>
    <w:p>
      <w:r>
        <w:t>Tel est le cas en l’espèce. Il y a un intérêt public à l’exécution de la mesure de renvoi compte tenu des motifs de détention précités qui prime tout autre intérêt privé du recourant. En outre, aucune autre mesure, moins incisive, n’est apte à garantir la présence de l’intéressé lors de l’exécution du renvoi.</w:t>
      </w:r>
    </w:p>
    <w:p>
      <w:r>
        <w:rPr>
          <w:b/>
        </w:rPr>
        <w:t>E. 9</w:t>
      </w:r>
    </w:p>
    <w:p>
      <w:r>
        <w:t>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La procédure liée à la détention administrative ne permet pas, sauf cas exceptionnels, de remettre en cause le caractère licite de la décision de renvoi (ATF 129 I 139 consid. 4.3.2 p. 149 ; arrêt du Tribunal fédéral 2C_1260/2012 du 21 décembre 2012 consid. 3.2). Ce n'est que si une décision de renvoi apparaît manifestement inadmissible, soit arbitraire ou nulle, qu'il est justifié de lever la détention en application de l'art. 80 al. 6 let. a LEtr, étant donné que l'exécution</w:t>
      </w:r>
    </w:p>
    <w:p>
      <w:r>
        <w:t>- 6/7 - A/2388/2016 d'un tel ordre illicite ne doit pas être assurée par les mesures de contrainte (arrêt du Tribunal fédéral 2C_256/2013 du 10 avril 2013 consid. 4.5 et les arrêts cités).</w:t>
      </w:r>
    </w:p>
    <w:p>
      <w:r>
        <w:t>En l’espèce, le recourant n’allègue aucun fait qui n’aurait pas été soumis à l’examen de l’autorité fédérale compétente lorsqu’elle a prononcé la décision de refus d’entrée en matière et de renvoi du 3 juin 2010. Or, il n’a pas recouru contre cette décision et n’en a pas davantage demandé un réexamen. Il n’apparaît par ailleurs pas que dite décision soit entachée de nullité.</w:t>
      </w:r>
    </w:p>
    <w:p>
      <w:r>
        <w:t>Dans ces conditions, il n’y pas lieu de s’écarter de l’appréciation de l’autorité précitée et la chambre de céans retiendra que l’exécution du renvoi n’est pas manifestement impossible, illicite ou non exigible.</w:t>
      </w:r>
    </w:p>
    <w:p>
      <w:r>
        <w:rPr>
          <w:b/>
        </w:rPr>
        <w:t>E. 10</w:t>
      </w:r>
    </w:p>
    <w:p>
      <w:r>
        <w:t>Vu ce qui précède, le recours, infondé, sera rejeté.</w:t>
      </w:r>
    </w:p>
    <w:p>
      <w:r>
        <w:rPr>
          <w:b/>
        </w:rPr>
        <w:t>E. 11</w:t>
      </w:r>
    </w:p>
    <w:p>
      <w:r>
        <w:t>Vu la nature du litige, il ne sera pas perçu d’émolument (art. 12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