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ATA/664/2021 vom 29. Juni 2021</w:t>
      </w:r>
    </w:p>
    <w:p>
      <w:r>
        <w:t>GE Cour de justice, 2021-06-29, FR</w:t>
      </w:r>
    </w:p>
    <w:p>
      <w:r>
        <w:rPr>
          <w:b/>
        </w:rPr>
        <w:t xml:space="preserve">Quelle: </w:t>
      </w:r>
      <w:r>
        <w:t>https://mcp.opencaselaw.ch/entscheid/ge_gerichte_ATA_664_2021</w:t>
      </w:r>
    </w:p>
    <w:p>
      <w:r>
        <w:t>FR: GE_GERICHTE ATA/664/2021 du 29 juin 2021</w:t>
      </w:r>
    </w:p>
    <w:p>
      <w:r>
        <w:t>IT: GE_GERICHTE ATA/664/2021 del 29 giugno 2021</w:t>
      </w:r>
    </w:p>
    <w:p>
      <w:pPr>
        <w:pStyle w:val="Heading2"/>
      </w:pPr>
      <w:r>
        <w:t>Regeste</w:t>
      </w:r>
    </w:p>
    <w:p>
      <w:r>
        <w:t>Résumé: Admission du recours d'un fonctionnaire contre une sanction dont il a fait l'objet, au motif que les faits et sa responsabilité disciplinaire étaient prescrits à la date à laquelle la décision attaquée a été rendue.</w:t>
      </w:r>
    </w:p>
    <w:p>
      <w:pPr>
        <w:pStyle w:val="Heading2"/>
      </w:pPr>
      <w:r>
        <w:t>Erwägungen</w:t>
      </w:r>
    </w:p>
    <w:p>
      <w:r>
        <w:rPr>
          <w:b/>
        </w:rPr>
        <w:t>E. 12</w:t>
      </w:r>
    </w:p>
    <w:p>
      <w:r>
        <w:t>septembre 1985 - LPA - E 5 10).</w:t>
      </w:r>
    </w:p>
    <w:p>
      <w:r>
        <w:t>- 10/14 - A/1931/2020 2)</w:t>
      </w:r>
    </w:p>
    <w:p>
      <w:r>
        <w:t>Le litige porte sur la conformité au droit de la décision du 28 mai 2020 du directeur de la prison infligeant vingt services supplémentaires au recourant. 3) a. Le recourant et l'autorité intimée sollicitent l'administration de preuves supplémentaires, en particulier l'audition de plusieurs témoins ainsi que la production de l'intégralité des pièces du dossier constitué par l'autorité intimée, respectivement la production par le recourant de pièces relatives au groupe WhatsApp de la brigade concernée.</w:t>
      </w:r>
    </w:p>
    <w:p>
      <w:r>
        <w:t>b.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w:t>
      </w:r>
    </w:p>
    <w:p>
      <w:r>
        <w:t>c. En l'espèce, il ne sera pas donné suite aux requêtes du recourant, dès lors que ses offres de preuves ne sont pas de nature à apporter des éléments supplémentaires au dossier.</w:t>
      </w:r>
    </w:p>
    <w:p>
      <w:r>
        <w:t>Par ailleurs, il ne sera pas non plus donné suite à la conclusion de l'autorité intimée, dès lors qu'elle a elle-même produit une pièce complémentaire le</w:t>
      </w:r>
    </w:p>
    <w:p>
      <w:r>
        <w:rPr>
          <w:b/>
        </w:rPr>
        <w:t>E. 13</w:t>
      </w:r>
    </w:p>
    <w:p>
      <w:r>
        <w:t>novembre 2020.</w:t>
      </w:r>
    </w:p>
    <w:p>
      <w:r>
        <w:t>En tout état, ni l'audition de témoins, ni la production de pièces requises tant par le recourant que par l'intimée ne s'avèrent pertinentes pour l'issue du litige, compte tenu de ce qui suit. 4) a. 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Cette condition n’est pas réalisée en l’espèce.</w:t>
      </w:r>
    </w:p>
    <w:p>
      <w:r>
        <w:t>b. En matière de sanctions disciplinaires, l’autorité dispose d’un large pouvoir d’appréciation ; le pouvoir d’examen de la chambre de céans se limite à l’excès ou à l’abus du pouvoir d’appréciation (art. 61 al. 2 LPA ; ATA/434/2021 du 20 avril 2021 consid. 2f et les références citées). 5)</w:t>
      </w:r>
    </w:p>
    <w:p>
      <w:r>
        <w:t>Le recourant soutient que l’action disciplinaire est prescrite.</w:t>
      </w:r>
    </w:p>
    <w:p>
      <w:r>
        <w:t>- 11/14 - A/1931/2020</w:t>
      </w:r>
    </w:p>
    <w:p>
      <w:r>
        <w:t>a. En qualité d’agent de détention à la prison, le recourant est soumis à la loi générale relative au personnel de l’administration cantonale, du pouvoir judiciaire et des établissements publics médicaux du 4 décembre 1997 (LPAC - B 5 05) et à ses dispositions d’application sous réserve des dispositions particulières de la loi sur l’organisation des établissements et le statut du personnel pénitentiaire du 3 novembre 2016 (LOPP - F 1 50 ; art. 6 al. 1 LOPP).</w:t>
      </w:r>
    </w:p>
    <w:p>
      <w:r>
        <w:t>b.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25 al. 4 LOPP).</w:t>
      </w:r>
    </w:p>
    <w:p>
      <w:r>
        <w:t>L'art. 25 al. 4 LOPP ne précise pas qui doit avoir eu connaissance de la violation et à partir de quand celle-ci doit être considérée comme étant « découverte » (arrêt du Tribunal fédéral 8C_621/2015 du 13 juin 2016 consid. 2.4, qui confirme l'ATA/652/2015 du 23 juin 2015 ; ATA/142/2020 du 11 février 2020 consid. 4b).</w:t>
      </w:r>
    </w:p>
    <w:p>
      <w:r>
        <w:t>c. La chambre de céans a jugé de manière constante, dans des affaires où un fonctionnaire de police avait été sanctionné d'un blâme ou de services hors tours, que l'art. 37 al. 6 de l’ancienne loi sur la police (ci-après : aLPol), dont la teneur est identique aux art. 25 al. 4 LOPP et 27 al. 7 LPAC, faisait référence à la connaissance des faits par la cheffe de la police – la commandante, compétente pour prononcer le blâme et les services hors tour (art. 36 al. 2 aLPol ; ATA/435/2018 du 8 mai 2018 consid. 7b ; ATA/652/2015 précité consid. 7 et les références citées).</w:t>
      </w:r>
    </w:p>
    <w:p>
      <w:r>
        <w:t>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w:t>
      </w:r>
    </w:p>
    <w:p>
      <w:r>
        <w:t>Dans l’ATA/215/2017 du 21 février 2017 (consid. 11e),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du recourant et qu'il avait pu décider de la suite à donner au dossier que le délai de prescription avait commencé à courir.</w:t>
      </w:r>
    </w:p>
    <w:p>
      <w:r>
        <w:t>- 12/14 - A/1931/2020</w:t>
      </w:r>
    </w:p>
    <w:p>
      <w:r>
        <w:t>d.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6)</w:t>
      </w:r>
    </w:p>
    <w:p>
      <w:r>
        <w:t>En l'espèce, le complexe de faits porte sur des événements datant du 29 septembre 2017. Ils ont été portés à la connaissance de la DRH-OCD en mai 2018 selon ses propres déclarations. Le directeur de la prison a pris connaissance des faits le 5 décembre 2018.</w:t>
      </w:r>
    </w:p>
    <w:p>
      <w:r>
        <w:t>Est litigieuse la question de la prescription relative d’un an, notamment le dies a quo, le recourant considérant la date de mai 2018 et soutenant que la prescription de la responsabilité disciplinaire est acquise et l’autorité intimée celle du 5 décembre 2018.</w:t>
      </w:r>
    </w:p>
    <w:p>
      <w:r>
        <w:t>La particularité du cas d’espèce réside dans le fait que la DRH-OCD a été informée des faits en mai 2018, soit avant le directeur, compétent pour prononcer les services supplémentaires.</w:t>
      </w:r>
    </w:p>
    <w:p>
      <w:r>
        <w:t>Toutefois, l’OCD (art. 5 al. 1 let. c du règlement sur l'organisation de l'administration cantonale du 1er juin 2018 - ROAC - B 4 05.10), conformément au principe selon lequel « qui peut le plus peut le moins » (arrêt du Tribunal fédéral arrêt 2C_959/2016 consid. 6.3 du 17 mars 2017), ayant aussi la compétence de prononcer les services supplémentaires à l’encontre du recourant, le dies a quo du délai de prescription doit être fixé en mai 2018. De surcroît, le délai de sept mois pour vérifier l’éventuelle connaissance de ces agissements pour la direction de la prison apparaît excessif, étant rappelé qu’il ressort des travaux préparatoires relatifs à la LPAC, mais pertinents en l’espèce, que le législateur a souhaité contraindre l’employeur à prendre des mesures dans un délai relativement bref après la découverte de la violation des devoirs de service (MGC 2006-2007/VI A-4524 ; ATA 215/2017 précité consid. 15 c et d).</w:t>
      </w:r>
    </w:p>
    <w:p>
      <w:r>
        <w:t>La prescription a été interrompue pendant l’enquête administrative, soit du 6 février 2019, date de l’ouverture de l’enquête administrative, au 20 janvier 2020, date de la remise du rapport de l’enquêteur (ATA/215/2017 précité consid. 15).</w:t>
      </w:r>
    </w:p>
    <w:p>
      <w:r>
        <w:t>Le 27 janvier 2020, le conseiller d’État a informé le recourant qu’il renonçait à prononcer des sanctions relevant de sa compétence et transmettait le rapport à la direction générale de l’OCD et de la prison pour suite disciplinaire utile. La sanction a été prononcée le 28 mai 2020.</w:t>
      </w:r>
    </w:p>
    <w:p>
      <w:r>
        <w:t>À cette dernière date, le délai de prescription d’un an était échu, la prescription ayant couru pendant environ neuf mois, avant une suspension de près</w:t>
      </w:r>
    </w:p>
    <w:p>
      <w:r>
        <w:t>- 13/14 - A/1931/2020 de douze mois, et une reprise de quatre mois. Imputation faite de la suspension, la sanction est intervenue quelque quatorze mois après les faits.</w:t>
      </w:r>
    </w:p>
    <w:p>
      <w:r>
        <w:t>Il n’est pas nécessaire d’investiguer plus précisément la date en mai 2018 de la connaissance des faits, le résultat étant identique que cela soit le 1er ou le 31 mai 2018.</w:t>
      </w:r>
    </w:p>
    <w:p>
      <w:r>
        <w:t>La responsabilité disciplinaire pour le « bizutage » était donc prescrite au moment où l’intéressé a été sanctionné le 28 mai 2020.</w:t>
      </w:r>
    </w:p>
    <w:p>
      <w:r>
        <w:t>En conséquence, le recours sera admis. 7)</w:t>
      </w:r>
    </w:p>
    <w:p>
      <w:r>
        <w:t>Vu l'issue du litige, aucun émolument ne sera perçu (art. 87 al. 1 LPA). Une indemnité de procédure de CHF 1'500.-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