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ATA/662/2015 vom 23. Juni 2015</w:t>
      </w:r>
    </w:p>
    <w:p>
      <w:r>
        <w:t>GE Cour de justice, 2015-06-23, FR</w:t>
      </w:r>
    </w:p>
    <w:p>
      <w:r>
        <w:rPr>
          <w:b/>
        </w:rPr>
        <w:t xml:space="preserve">Quelle: </w:t>
      </w:r>
      <w:r>
        <w:t>https://mcp.opencaselaw.ch/entscheid/ge_gerichte_ATA_662_2015</w:t>
      </w:r>
    </w:p>
    <w:p>
      <w:r>
        <w:t>FR: GE_GERICHTE ATA/662/2015 du 23 juin 2015</w:t>
      </w:r>
    </w:p>
    <w:p>
      <w:r>
        <w:t>IT: GE_GERICHTE ATA/662/2015 del 23 giugno 2015</w:t>
      </w:r>
    </w:p>
    <w:p>
      <w:pPr>
        <w:pStyle w:val="Heading2"/>
      </w:pPr>
      <w:r>
        <w:t>Erwägungen</w:t>
      </w:r>
    </w:p>
    <w:p>
      <w:r>
        <w:rPr>
          <w:b/>
        </w:rPr>
        <w:t>E. 12</w:t>
      </w:r>
    </w:p>
    <w:p>
      <w:r>
        <w:t>septembre 1985 - LPA - E 5 10). 2) a. Au 1er janvier 2011, un nouvel art. 60 de la loi sur l'imposition des personnes physiques du 27 septembre 2009 (LIPP - D 3 08) est entré en vigueur, prévoyant une limite fixe de taxation en pourcents. Le texte de son premier alinéa est le suivant :</w:t>
      </w:r>
    </w:p>
    <w:p>
      <w:r>
        <w:t>« 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w:t>
      </w:r>
    </w:p>
    <w:p>
      <w:r>
        <w:t>b. Lors des travaux devant la commission parlementaire, il avait été précisé que « … la proposition consisterait à n'octroyer le bouclier qu'aux contribuables domiciliés en Suisse. Le Tribunal fédéral n'accepterait en effet pas que le bouclier fiscal soit limité aux contribuables domiciliés dans le canton. En revanche, l'octroi du bouclier fiscal pourrait être refusé aux contribuables domiciliés à l'étranger » (MGC 2008-2009/IX A p. 11556).</w:t>
      </w:r>
    </w:p>
    <w:p>
      <w:r>
        <w:t>Dès lors, la volonté du législateur est bien de limiter le bénéfice de cette disposition aux contribuables domiciliés en Suisse. 3)</w:t>
      </w:r>
    </w:p>
    <w:p>
      <w:r>
        <w:t>La recourante soutient que, en excluant les contribuables domiciliés à l’étranger, l’art. 60 LIPP viole le principe de l’égalité de traitement.</w:t>
      </w:r>
    </w:p>
    <w:p>
      <w:r>
        <w:t>a. En vertu de l’art. 8 de la Constitution fédérale de la Confédération suisse du 18 avril 1999 (Cst. - RS 101), tous les êtres humains sont égaux devant la loi. En matière fiscale, le principe de l’égalité de traitement est repris à l’art. 127 al. 2 Cst. qui dispose que dans la mesure où la nature de l'impôt le permet, les principes de l'universalité, de l'égalité de traitement et de la capacité économique doivent, en particulier, être respectés.</w:t>
      </w:r>
    </w:p>
    <w:p>
      <w:r>
        <w:t>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w:t>
      </w:r>
    </w:p>
    <w:p>
      <w:r>
        <w:t>- 5/8 - A/4091/2013 est dissemblable ne l’est pas de manière différente (ATF 138 V 176 consid. 8.2 p. 183 ; 134 I 23 consid. 9.1 p. 42 ; 131 I 1 consid. 4.2 p. 6). Cela suppose que le traitement différent ou semblable injustifié se rapporte à une situation de fait importante (ATF 138 I 225 consid. 3.6.1 p. 229 ; 138 I 265 consid. 4.1 p. 267 ; 137 V 334 consid. 6.2.1 p. 348 ; arrêt du Tribunal fédéral 8C_582/2013 du 2 mai 2014 consid. 6.2.1). L'inégalité de traitement apparaît ainsi comme une forme particulière d'arbitraire, consistant à traiter de manière inégale ce qui devrait l'être de manière semblable ou inversement (ATF 129 I 346 consid. 6 p. 357 ; arrêts du Tribunal fédéral 1F_2/2014 du 3 juillet 2014 consid. 1.3.1 et 2C_200/2011 du</w:t>
      </w:r>
    </w:p>
    <w:p>
      <w:r>
        <w:rPr>
          <w:b/>
        </w:rPr>
        <w:t>E. 14</w:t>
      </w:r>
    </w:p>
    <w:p>
      <w:r>
        <w:t>novembre 2011 consid. 5.1).</w:t>
      </w:r>
    </w:p>
    <w:p>
      <w:r>
        <w:t>c.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(ATA/881/2014 du 11 novembre 2014 ; ATA/270/2014 du 15 avril 2014), chaque citoyen doit contribuer à la couverture des dépenses publiques compte tenu de sa situation personnelle et en proportion de ses moyens (ATF 140 II 157 consid. 7.1 p. 160).</w:t>
      </w:r>
    </w:p>
    <w:p>
      <w:r>
        <w:t>En l’espèce, la différence faites entre les contribuables domiciliés à l’étranger et ceux domiciliés en Suisse n’est pas constitutive, en soi, d’une inégalité de traitement : les deux catégories de contribuables se trouvent dans une situation fondamentalement différentes du fait de leur domicile et de la situation géographiques de leurs biens et de leurs sources de revenus.</w:t>
      </w:r>
    </w:p>
    <w:p>
      <w:r>
        <w:t>Partant, ce grief sera écarté. 4)</w:t>
      </w:r>
    </w:p>
    <w:p>
      <w:r>
        <w:t>La charge fiscale de la recourante ne pouvant être limitée par l’application de l’art. 60 LIPP, il est encore nécessaire de déterminer si la taxation litigieuse est confiscatoire en application des principes constitutionnels développé avant l’entrée en vigueur de cette disposition, qui restent pertinent.</w:t>
      </w:r>
    </w:p>
    <w:p>
      <w:r>
        <w:t>a. La garantie de la propriété (art. 26 al. 1 Cst.) ne va, en matière fiscale, pas au-delà de l’interdiction d’une imposition confiscatoire, cette dernière portant atteinte à l'institution même de la propriété privée (ATAF 2007/23 consid. 7.4.1 du 3 mai 2007 ; Ulrich HÄFELIN/Georg MÜLLER/Felix UHLMANN, Allgemeines Verwaltungsrecht, 6ème éd., 2010, n. 2043 ; Klaus VALLENDER, in Bernhard EHRENZELLER et al. [éd.], Die schweizerische Bundesverfassung - Kommentar, vol. I, 2ème éd., 2008, n. 34 ss ad art. 26 Cst. ; Jorg Paul MÜLLER/ Markus SCHEFER, Grundrechte in der Schweiz, 4ème éd., 2008, p. 1041).</w:t>
      </w:r>
    </w:p>
    <w:p>
      <w:r>
        <w:t>Pour juger si une imposition a un effet confiscatoire, il faut examiner la charge que représente l’imposition sur une assez longue période, en faisant abstraction des circonstances extraordinaires ; à cette fin, il y a lieu de prendre en</w:t>
      </w:r>
    </w:p>
    <w:p>
      <w:r>
        <w:t>- 6/8 - A/4091/2013 considération l’ensemble des circonstances concrètes, la durée et la gravité de l’atteinte, ainsi que le cumul d’autres taxes ou contributions, et la possibilité de reporter l’impôt sur d’autres personnes (ATF 122 I 305 consid. 7a ; 128 II 112 consid. 10b.bb, et les références citées ; arrêt du Tribunal fédéral 2C_579/2009 du 26 juin 2010).</w:t>
      </w:r>
    </w:p>
    <w:p>
      <w:r>
        <w:t>b. Le Tribunal fédéral fait montre d’une grande retenue dans l’admission du caractère confiscatoire d’une imposition. Il n’en a en effet constaté qu’à une seule reprise, dans le cadre d’une rente viagère constituée par disposition pour cause de mort, et relativement à laquelle l’impôt sur les successions et l’impôt sur le revenu, combinés, représentaient 55 % du montant des rentes d’une personne ayant une capacité contributive réduite (Danielle YERSIN, Les protections constitutionnelles et légales contre les impositions confiscatoires, in Publications de l’Institut suisse de droit comparé, vol. 12, 1990, p. 278 ; Xavier OBERSON, Droit fiscal suisse, 4ème éd., 2012, p. 44).</w:t>
      </w:r>
    </w:p>
    <w:p>
      <w:r>
        <w:t>c. Le Tribunal fédéral a notamment admis que le noyau essentiel de la propriété privée n’était pas touché si, pendant une courte période, le revenu à disposition ne suffit pas à s’acquitter de la charge fiscale sans entamer la fortune (ATF 106 Ia 342 consid. 6c p. 353 ; arrêts du Tribunal fédéral 2P.139/2004 du 30 novembre 2004 consid. 4.1 ; 2C_277/2008 du 26 septembre 2008). En particulier dans les cas où la fortune ne produit que peu ou pas de rendement, l’imposition ne saurait être jugée confiscatoire si le contribuable renonce volontairement à un rendement suffisant en raison de relations familiales ou dans l’attente d’une réalisation future bien supérieure au revenu de la fortune (ATF 106 Ia 342 consid. 6c p. 353).</w:t>
      </w:r>
    </w:p>
    <w:p>
      <w:r>
        <w:t>d. En l’espèce, la recourante ne démontre pas que la charge fiscale à laquelle elle doit faire face soit confiscatoire sur une longue période. Il ressort au contraire des annexes à sa déclarations d’impôts que cette situation est due à d’importants frais de rénovation de l’immeuble dont elle est propriétaire à Genève, ce qui correspond à une situation exceptionnelle. 5)</w:t>
      </w:r>
    </w:p>
    <w:p>
      <w:r>
        <w:t>Au vu de ce qui précède, le recours sera rejeté. Vu l’issue du litige, un émolument de CHF 1'500.- sera mis à la charge de la recourante (art. 87 al. 1 LPA) et aucune indemnité de procédure ne lui sera allouée (art. 87 al. 2 LPA).</w:t>
      </w:r>
    </w:p>
    <w:p>
      <w:r>
        <w:t>- 7/8 - A/4091/2013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