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ATA/661/2024 vom 4. Juni 2024</w:t>
      </w:r>
    </w:p>
    <w:p>
      <w:r>
        <w:t>GE Cour de justice, 2024-06-04, FR</w:t>
      </w:r>
    </w:p>
    <w:p>
      <w:r>
        <w:rPr>
          <w:b/>
        </w:rPr>
        <w:t xml:space="preserve">Quelle: </w:t>
      </w:r>
      <w:r>
        <w:t>https://mcp.opencaselaw.ch/entscheid/ge_gerichte_ATA_661_2024</w:t>
      </w:r>
    </w:p>
    <w:p>
      <w:r>
        <w:t>FR: GE_GERICHTE ATA/661/2024 du 4 juin 2024</w:t>
      </w:r>
    </w:p>
    <w:p>
      <w:r>
        <w:t>IT: GE_GERICHTE ATA/661/2024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montant du loyer LDTR fixé dans l’autorisation de construire APA 1______/2, soit CHF 7’056.- par an (ou CHF 3'528.- la pièce par an), pour une durée de trois ans à dater de la remise en location après la fin des travaux. 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w:t>
      </w:r>
    </w:p>
    <w:p>
      <w:r>
        <w:t>- 9/15 - A/607/2023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w:t>
      </w:r>
    </w:p>
    <w:p>
      <w:r>
        <w:rPr>
          <w:b/>
        </w:rPr>
        <w:t>E. 3</w:t>
      </w:r>
    </w:p>
    <w:p>
      <w:r>
        <w:t>Une autorisation est nécessaire pour toute transformation ou rénovation. L'autorisation est accordée notamment pour les travaux de rénovation au sens de l'art. 3 al. 1 let. d LDTR (art. 9 al. 1 let. e LDTR).</w:t>
      </w:r>
    </w:p>
    <w:p>
      <w:r>
        <w:rPr>
          <w:b/>
        </w:rPr>
        <w:t>E. 3.1</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Par BPP, il faut entendre les loyers accessibles à la majorité de la population (art. 9 al. 3 LDTR). Selon l’arrêté relatif à la révision des loyers répondant aux besoins prépondérants de la population du 12 janvier 2022, en vigueur dès le 14 janvier 2022 (ArLoyers - L 5 20.05), les loyers correspondant aux BPP, fondés sur le revenu brut médian des contribuables personnes physiques 2018, son compris entre CHF 2'627.- à CHF 3'528.- la pièce par année.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3.2</w:t>
      </w:r>
    </w:p>
    <w:p>
      <w:r>
        <w:t>Selon l’art. 10 LDTR, le département fixe, comme condition de l’autorisation de construire, le montant maximum des loyers des logements après travaux. Il tient compte des critères énumérés à l’art. 11 LDTR</w:t>
      </w:r>
    </w:p>
    <w:p>
      <w:r>
        <w:rPr>
          <w:b/>
        </w:rPr>
        <w:t>E. 3.3</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pratiquée par la Banque cantonale de Genève, le taux de rendement étant fonction de l’incidence dégressive des amortissements (let. a) ; de l’amortissement calculé en fonction de la durée de vie des installations, en règle générale dans une fourchette de 18 à 20 ans, soit de</w:t>
      </w:r>
    </w:p>
    <w:p>
      <w:r>
        <w:t>- 10/15 - A/607/2023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4</w:t>
      </w:r>
    </w:p>
    <w:p>
      <w:r>
        <w:t>Les recourants estiment que le loyer après transformation devrait être fixé en application de l’art. 11 al. 3 LDTR, interprété de façon à garantir leur propriété et leur liberté économique.</w:t>
      </w:r>
    </w:p>
    <w:p>
      <w:r>
        <w:rPr>
          <w:b/>
        </w:rPr>
        <w:t>E. 4.1</w:t>
      </w:r>
    </w:p>
    <w:p>
      <w:r>
        <w:t>L'art. 11 al. 3 LDTR a été introduit avec l'adoption du PL 7'752, le 25 mars 1999. Selon les travaux préparatoires,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ATA/675/2017 du 20 juin 2017 consid. 8c). Dans la situation de l’art. 11 al. 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(art. 5 al. 4 du règlement d’application de la loi sur les démolitions, transformations et rénovations de maisons d’habitation – RDTR – L 5 20.01 ; ATA/253/2011 du 19 avril 1011 consid 8 ; Emmanuelle GAIDE/Valérie DÉFAGO GAUDIN, op. cit. p. 315).</w:t>
      </w:r>
    </w:p>
    <w:p>
      <w:r>
        <w:rPr>
          <w:b/>
        </w:rPr>
        <w:t>E. 4.2</w:t>
      </w:r>
    </w:p>
    <w:p>
      <w:r>
        <w:t>En l’espèce, le loyer du logement avant rénovation ne dépasse pas le niveau des loyers répondant aux BPP, ce qui n’est pas contesté. Les recourants estiment toutefois que l’art. 11 al. 3 LDTR doit être appliqué par analogie puisque le loyer fixé dans la décision ne leur permettrait pas économiquement de supporter le coût des travaux sans majoration de loyer.</w:t>
      </w:r>
    </w:p>
    <w:p>
      <w:r>
        <w:rPr>
          <w:b/>
        </w:rPr>
        <w:t>E. 4.2.1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w:t>
      </w:r>
    </w:p>
    <w:p>
      <w:r>
        <w:t>- 11/15 - A/607/2023 fondement et du but de la prescription en cause, ainsi que de sa relation avec d’autres dispositions (ATF 147 V 242 consid. 7.2 ; arrêt du Tribunal fédéral 9C_776/2020 du 7 juillet 2022 consid. 8.1 ; ATA/573/2022 du 31 mai 2022 consid. 6a).</w:t>
      </w:r>
    </w:p>
    <w:p>
      <w:r>
        <w:rPr>
          <w:b/>
        </w:rPr>
        <w:t>E. 4.2.2</w:t>
      </w:r>
    </w:p>
    <w:p>
      <w:r>
        <w:t>L’historique de cette disposition montre notamment que le législateur entendait l’appliquer de façon limitée aux seuls cas où les loyers étaient abusivement élevés, supérieurs à la fourchette des loyers BPP, avant travaux mais ne constituait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consid. 6 c).</w:t>
      </w:r>
    </w:p>
    <w:p>
      <w:r>
        <w:rPr>
          <w:b/>
        </w:rPr>
        <w:t>E. 4.3</w:t>
      </w:r>
    </w:p>
    <w:p>
      <w:r>
        <w:t>L’argumentation développée par les recourants ne peut donc être suivie puisque l’exception permettant d’augmenter les loyers si cela est financièrement nécessaire, prévue par le législateur à l’art. 11 al. 3 LDTR ne s’applique, selon sa lettre claire, qu’aux logements dont les loyers dépassent, avant transformation ou rénovation, ceux répondant aux BPP et non pas, comme le voudraient les recourants à ceux dont le loyer est inférieur, avant travaux, au maximum de la fourchette des loyers correspondants aux BPP. Ainsi, rien ne permet de retenir l’interprétation extensive, excédant son texte clair, que voudraient donner les recourants à cette disposition. Le grief sera donc écarté.</w:t>
      </w:r>
    </w:p>
    <w:p>
      <w:r>
        <w:rPr>
          <w:b/>
        </w:rPr>
        <w:t>E. 5</w:t>
      </w:r>
    </w:p>
    <w:p>
      <w:r>
        <w:t>Les recourants estiment devoir bénéficier des circonstances particulières prévues à l’art. 9 al. 4 à 6 LDTR.</w:t>
      </w:r>
    </w:p>
    <w:p>
      <w:r>
        <w:rPr>
          <w:b/>
        </w:rPr>
        <w:t>E. 5.1</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à certaines conditions. Il s’agit de mesures en lien avec la consommation d’énergie.</w:t>
      </w:r>
    </w:p>
    <w:p>
      <w:r>
        <w:rPr>
          <w:b/>
        </w:rPr>
        <w:t>E. 5.2</w:t>
      </w:r>
    </w:p>
    <w:p>
      <w:r>
        <w:t>La chambre de céans a déjà été amenée à examiner ces dispositions visant des circonstances particulières en lien avec les buts poursuivis par la LDTR. Elle a retenu que constituait des circonstances particulières le coût accru notoirement lié à la création d’un appartement dans des combles (ATA/391/2013 du 25 juin 2013). Elle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w:t>
      </w:r>
    </w:p>
    <w:p>
      <w:r>
        <w:t>- 12/15 - A/607/2023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(ATA/865/2022 du 30 août 2022 consid. 6f ; ATA/391/2013 précité).</w:t>
      </w:r>
    </w:p>
    <w:p>
      <w:r>
        <w:rPr>
          <w:b/>
        </w:rPr>
        <w:t>E. 5.3</w:t>
      </w:r>
    </w:p>
    <w:p>
      <w:r>
        <w:t>En l’espèce, aucune circonstance particulière, au sens donné par la jurisprudence restrictive rappelée ci-dessus, n’est alléguée par les recourants qui ne mentionnent que les coûts élevés des travaux. Toutefois, ces coûts élevés ne s’expliquent pas par des circonstances qui pourraient être retenues comme particulières. En effet, les recourants ont fait le choix de procéder, en 2022, à une seconde série de travaux de rénovation dans le logement concerné, pour un montant de quatre fois celui des premiers travaux déjà réalisés en automne 2021, alors qu’ils avaient accepté la première autorisation délivrée et que le logement était en état d’être loué. Ils se bornent à invoquer à cet égard, mais de manière tardive et contradictoire, que cette première autorisation serait contraire au droit ne s’agissant pas de travaux de rénovation mais d’entretien. En conséquence, l’autorité intimée n’a pas abusé de son pouvoir d’appréciation en ne retenant pas de circonstances particulières permettant l’application des exceptions des art. 9 al. 4 à 6 LDTR, comme confirmé par le TAPI.</w:t>
      </w:r>
    </w:p>
    <w:p>
      <w:r>
        <w:rPr>
          <w:b/>
        </w:rPr>
        <w:t>E. 6</w:t>
      </w:r>
    </w:p>
    <w:p>
      <w:r>
        <w:t>Les recourants invoquent une violation de l’art. 11 al. 1 let. d LDTR, le loyer avant travaux à prendre en compte dans le cadre de la fixation du loyer après travaux ne devant pas être celui payé par l’ancienne locataire mais un loyer supérieur calculé en tenant compte du rendement de l’appartement.</w:t>
      </w:r>
    </w:p>
    <w:p>
      <w:r>
        <w:rPr>
          <w:b/>
        </w:rPr>
        <w:t>E. 6.1</w:t>
      </w:r>
    </w:p>
    <w:p>
      <w:r>
        <w:t>À cet égard, la jurisprudence et la doctrine ont déjà eu l’occasion de préciser que les critères de calcul retenu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(ATA/502/2008 précité consid. 7d).</w:t>
      </w:r>
    </w:p>
    <w:p>
      <w:r>
        <w:rPr>
          <w:b/>
        </w:rPr>
        <w:t>E. 6.2</w:t>
      </w:r>
    </w:p>
    <w:p>
      <w:r>
        <w:t>Une réactualisation des loyers avant travaux n’est acceptée par la jurisprudence et la doctrine qu’en cas de maintien des locataires dans leurs appartements et non</w:t>
      </w:r>
    </w:p>
    <w:p>
      <w:r>
        <w:t>- 13/15 - A/607/2023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(ATA/502/2008 précité consid. 7d ; Emmanuelle GAIDE, Valérie DÉFAGO GAUDIN, op. cit., p. 282 ch. 4.1.1 et 285 ch. 4.2.2). L’argumentation des recourants tombe donc à faux puisqu’ils invoquent le rendement insuffisant que leur aurait procuré l’ancien loyer pour justifier l’application de l’art. 11 al. 1 let. d LDTR au loyer d’un logement vacant, dans le but d’obtenir un résultat différent du calcul du loyer après travaux, dont il n’est pas contesté qu’il est pour le reste conforme à l’art. 11 LDTR. Le grief sera donc écarté.</w:t>
      </w:r>
    </w:p>
    <w:p>
      <w:r>
        <w:rPr>
          <w:b/>
        </w:rPr>
        <w:t>E. 7</w:t>
      </w:r>
    </w:p>
    <w:p>
      <w:r>
        <w:t>Dans un dernier grief, les recourants invoquent la violation de la garantie de la propriété qui se confond avec leur liberté économique, le loyer fixé ne couvrant pas le montant des factures liées à leur immeuble.</w:t>
      </w:r>
    </w:p>
    <w:p>
      <w:r>
        <w:rPr>
          <w:b/>
        </w:rPr>
        <w:t>E. 7.1</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7.2</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7.3</w:t>
      </w:r>
    </w:p>
    <w:p>
      <w:r>
        <w:t>En l’espèce, il faut prendre en compte le fait que la restriction n’est prononcée que pour trois ans, soit, à l’échelle d’un investissement immobilier, pour une très courte durée. L’atteinte doit donc être qualifiée de peu grave, selon l’appréciation faite par le Tribunal fédéral, notamment dans l’arrêt 1C_110/2017 précité (consid. 4.1.2) dans lequel il retient qu’une restriction opérée sur cinq ans ne saurait être qualifiée de grave. À cela s’ajoute qu’en renonçant à contester la première autorisation délivrée le 2 février 2022, les recourants se sont accommodés du loyer avant les travaux subséquents, alors même que, selon eux, ce loyer ne leur permettait déjà pas de couvrir leurs coûts. Ils ont néanmoins décidé de procéder à des travaux supplémentaires, non nécessaires au maintien de l’habitabilité du logement, en</w:t>
      </w:r>
    </w:p>
    <w:p>
      <w:r>
        <w:t>- 14/15 - A/607/2023 sachant que leur coût ne pourrait, en tout cas pour une durée limitée, être reporté sur le loyer. Finalement, il appert que l’autorité intimée a fixé le loyer au maximum de la fourchette prévue par la loi. L’atteinte aux droits fondamentaux invoquée s’avère donc également proportionnée et le grief sera écarté. En tous points infondé, le recours doit être rejeté.</w:t>
      </w:r>
    </w:p>
    <w:p>
      <w:r>
        <w:rPr>
          <w:b/>
        </w:rPr>
        <w:t>E. 8</w:t>
      </w:r>
    </w:p>
    <w:p>
      <w:r>
        <w:t>Vu l’issue du litige, un émolument de CHF 1'000.- sera mis à la charge solidaire des recourants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