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ATA/660/2018 vom 26. Juni 2018</w:t>
      </w:r>
    </w:p>
    <w:p>
      <w:r>
        <w:t>GE Cour de justice, 2018-06-26, FR</w:t>
      </w:r>
    </w:p>
    <w:p>
      <w:r>
        <w:rPr>
          <w:b/>
        </w:rPr>
        <w:t xml:space="preserve">Quelle: </w:t>
      </w:r>
      <w:r>
        <w:t>https://mcp.opencaselaw.ch/entscheid/ge_gerichte_ATA_660_2018</w:t>
      </w:r>
    </w:p>
    <w:p>
      <w:r>
        <w:t>FR: GE_GERICHTE ATA/660/2018 du 26 juin 2018</w:t>
      </w:r>
    </w:p>
    <w:p>
      <w:r>
        <w:t>IT: GE_GERICHTE ATA/660/2018 del 26 giugno 2018</w:t>
      </w:r>
    </w:p>
    <w:p>
      <w:pPr>
        <w:pStyle w:val="Heading2"/>
      </w:pPr>
      <w:r>
        <w:t>Regeste</w:t>
      </w:r>
    </w:p>
    <w:p>
      <w:r>
        <w:t>Résumé: Recours déposé contre une loi de modification des limites de zones créant une zone de développement 3 au lieu-dit « Vailly-Sud / Route de Chancy » de la commune de Bernex, la recourante étant la commune de Bernex. Rejet des différents griefs soulevés, relatifs à l'absence de plan directeur de quartier du périmètre concerné, au respect des surfaces d'assolement ainsi qu'à l'opportunité et à la conformité au PDCn et au PDCom du déclassement litigieux. Recours rejeté.</w:t>
      </w:r>
    </w:p>
    <w:p>
      <w:pPr>
        <w:pStyle w:val="Heading2"/>
      </w:pPr>
      <w:r>
        <w:t>Erwägungen</w:t>
      </w:r>
    </w:p>
    <w:p>
      <w:r>
        <w:rPr>
          <w:b/>
        </w:rPr>
        <w:t>E. 29</w:t>
      </w:r>
    </w:p>
    <w:p>
      <w:r>
        <w:t>novembre 2001 consid. 3b/bb ; 1P.350/1998 du 27 septembre 2000 consid. 3).</w:t>
      </w:r>
    </w:p>
    <w:p>
      <w:r>
        <w:t>La chambre de céans ne peut donc revoir un plan d'affectation que sous l'angle de la légalité, son opportunité étant examinée au stade de l'opposition, le Grand Conseil ayant un plein pouvoir d'examen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I p. 526 ; Thierry TANQUEREL, Le contentieux de l'aménagement du territoire, in 3ème journée du droit de la propriété, 2000, p. 10). Elle ne peut en particulier revoir le choix de l'autorité</w:t>
      </w:r>
    </w:p>
    <w:p>
      <w:r>
        <w:t>- 10/19 - A/3774/2017 intimée de déclasser un terrain plutôt qu'un autre, et doit se borner à examiner si la solution adoptée est conforme à la loi (ATA/495/2018 du 22 mai 2018 consid. 7c ; ATA/632/2011 du 11 octobre 2011 consid. 9c). 4)</w:t>
      </w:r>
    </w:p>
    <w:p>
      <w:r>
        <w:t>Selon l’art. 1 al. 1 de la loi fédérale sur l’aménagement du territoire du 22 juin 1979 (LAT - RS 700),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 5) a.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w:t>
      </w:r>
    </w:p>
    <w:p>
      <w:r>
        <w:t>b. Parmi les zones ordinaires figurent notamment les zones à bâtir (art. 19 al. 1 à 7 LaLAT), la zone agricole (art. 20 et 21 LaLAT), la zone de bois et forêts (art. 23 LaLAT) et les zones de verdure et de délassement (art. 24 et 25 LaLAT).</w:t>
      </w:r>
    </w:p>
    <w:p>
      <w:r>
        <w:t>c. Les zones de développement ne sont pas soumises à la même réglementation que les zones ordinaires. À teneur de l’art. 12 al. 4 LaLAT, les zones de développement se définissent comme suit :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w:t>
      </w:r>
    </w:p>
    <w:p>
      <w:r>
        <w:t>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cette dernière n’étant pas pertinente en l’espèce.</w:t>
      </w:r>
    </w:p>
    <w:p>
      <w:r>
        <w:t>- 11/19 - A/3774/2017</w:t>
      </w:r>
    </w:p>
    <w:p>
      <w:r>
        <w:t>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plan localisé de quartier (ci-après : PLQ) au sens de l’art. 3, assorti d’un règlement (let. a) et des conditions particulières applicables au projet (let. b). 6)</w:t>
      </w:r>
    </w:p>
    <w:p>
      <w:r>
        <w:t>Dans un premier grief, la recourante reproche l'absence d'image directrice sur le secteur Vailly-Sud, soit l'inexistence d’un PDQ propre à cette zone, ce qui serait contraire aux recommandations du PDCn 2030 (contenues notamment aux fiches A02 et A17) et violerait le PDCom de Bernex. 7) a. À teneur de l’art. 10 al. 1 LaLAT, le plan directeur localisé fixe les orientations futures de l’aménagement de tout ou partie du territoire d’une ou plusieurs communes. Il est compatible avec les exigences de l’aménagement du territoire du canton contenues notamment dans le PDCn.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l’article 19 LAT (art. 10 al. 2 LaLAT).</w:t>
      </w:r>
    </w:p>
    <w:p>
      <w:r>
        <w:t>Le PDCom doit faire l’objet d’un nouvel examen au plus tard trois ans après l’approbation d’un nouveau PDCn par le Conseil fédéral (art. 10 al. 9 LaLAT).</w:t>
      </w:r>
    </w:p>
    <w:p>
      <w:r>
        <w:t>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w:t>
      </w:r>
    </w:p>
    <w:p>
      <w:r>
        <w:t>- 12/19 - A/3774/2017 directeurs localisés ont le caractère d’un outil de travail consensuel liant les autorités entre elles, dépourvu d’effet juridique (ATA/74/2008 du 19 février 2008).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w:t>
      </w:r>
    </w:p>
    <w:p>
      <w:r>
        <w:t>c. S’agissant des plans d’affectation du sol, l’art. 11 al. 1 LaLAT prévoit que conformément à l’art. 2 al. 3 LaLAT, les autorités cantonales et communales appliquent les principes et les objectifs du PDCn, notamment en veillant à ce que les plans d’affectation du sol soient conformes au PDCn et à son concept de l’aménagement cantonal. L’adoption d’un plan d’affectation du sol n’est pas subordonnée à celle, préalable, d’un plan directeur localisé.</w:t>
      </w:r>
    </w:p>
    <w:p>
      <w:r>
        <w:t>d. Dans l'ATA/397/2009 du 25 août 2009, la chambre administrative a considéré qu'il n'y avait aucune trace, ni dans la LaLAT, ni dans le PDCn, d'une règle qui prescrirait l'obligation d'adopter préalablement un PDQ, en particulier dans les plans d’aménagement concertés désignés par le PDCn, empêchant le Grand Conseil d'adopter un plan de zones en l'absence de PDQ. L'examen des travaux parlementaires ne permettait pas de retenir une autre solution. Cette interprétation fut ensuite formalisée par le Grand Conseil, le 3 avril 2009, par l'adoption de l'art. 11 al. 1 2ème phr. LaLAT. Subsidiairement, la juridiction de céans a rappelé que quand bien même un plan directeur localisé aurait été adopté préalablement à la loi litigieuse, le Grand Conseil restait libre de s'en distancer, aux conditions de l'art. 10 al. 8 LaLAT (consid. 8 confirmé par arrêt du Tribunal fédéral 1C_447/2009 du 11 mars 2010).</w:t>
      </w:r>
    </w:p>
    <w:p>
      <w:r>
        <w:t>Dans un arrêt plus récent (ATA/632/2011 précité), la chambre administrative a confirmé que le Grand Conseil n'était aucunement lié par l'existence d'un plan directeur localisé, à la procédure duquel il ne participe d'ailleurs pas et qui porterait sur tout ou partie du périmètre dudit plan de zone, comme le Tribunal fédéral l'a lui-même admis (arrêt du Tribunal fédéral 1C_447/2009 précité consid. 2.2). Cela ressortait clairement de l'art. 11 al. 1 2ème phr. LaLAT, comme de l'art. 10 al. 8 LaLAT. Quelles que soient les options d'aménagement prises à l'occasion d'un PDQ ou d'un PDCom, le Grand Conseil pouvait s'en distancer lors de l'adoption d'une loi modifiant les limites de zones, ce d'autant plus lorsqu'il disposait d'un motif légitime pour ce faire consistant, dans le cas d'espèce, dans le respect du PDCn (consid. 14g).</w:t>
      </w:r>
    </w:p>
    <w:p>
      <w:r>
        <w:t>Enfin, dans l'ATA/806/2015 du 11 août 2015, la chambre de céans a confirmé que le Grand Conseil, qui n’est pas une autorité administrative mais l’organe législatif cantonal, n’était pas lié par un plan directeur localisé et pouvait s’en écarter par l’adoption d’une loi formelle modifiant les limites de zones du</w:t>
      </w:r>
    </w:p>
    <w:p>
      <w:r>
        <w:t>- 13/19 - A/3774/2017 territoire cantonal. Elle a toutefois relevé que lors de la mise en œuvre de la loi d’aménagement, le Conseil d’État, comme le département, devaient respecter le PDCom. La conformité à ce document des constructions envisagées (par un PLQ notamment) ou autorisées pourrait alors être contrôlée par la juridiction de céans (consid. 15). 8) a. La fiche A02 du PDCn 2030 prévoit que, préalablement à l’élaboration des PLQ, des PDQ sont élaborés pour les secteurs les plus étendus. En particulier, les périmètres inclus dans des grands projets bénéficient des mesures de planification et d’accompagnement (structures de projet) appliquées dans le cadre de ces projets (p. 59).</w:t>
      </w:r>
    </w:p>
    <w:p>
      <w:r>
        <w:t>La fiche A17 du PDCn, qui cite « Bernex » au titre des grands projets prioritaires en cours d’élaboration, précise que si nécessaire, l’accord canton-commune formalisé dans le plan guide peut être traduit dans un document de valeur juridique, soit le PDQ (p. 146).</w:t>
      </w:r>
    </w:p>
    <w:p>
      <w:r>
        <w:t>b. Le PDCom de Bernex prévoit que le périmètre visé par la loi litigieuse est un secteur stratégique à valoriser avec l'arrivée du TCOB en 2013 pour constituer une interface de qualité « tram/bus/mobilités douces ». La planification d'un P+R provisoire de trois cents places à l'arrivée du tram n'est pas un dispositif satisfaisant pour la commune. Il prévoit, à titre de « propositions, suite de la coordination », l'établissement à moyen terme d'un plan directeur de quartier préalablement à toute construction, lequel précisera « les affectations et la densité, les espaces à maintenir libres et l'arborisation à créer ou à sauvegarder, les accès et les cheminements piétonniers » (fiche 5.4 du PDCom de Bernex). Le plan de synthèse urbanisation/transport/paysage du PDCom de Bernex prévoit un développement à court terme pour le secteur de Vailly, soit à l'horizon 2015-2020. 9)</w:t>
      </w:r>
    </w:p>
    <w:p>
      <w:r>
        <w:t>En l'espèce, il ressort clairement tant des dispositions légales précitées que de la jurisprudence de la chambre administrative, confirmée par le Tribunal fédéral, que rien n'empêche le Grand Conseil d'adopter un plan de zones en l'absence d'un PDQ. De même, il n’est pas lié par l'existence d'un plan directeur localisé, tel qu'un PDCom, et peut s’en écarter par l’adoption d’une loi formelle modifiant les limites de zones du territoire cantonal.</w:t>
      </w:r>
    </w:p>
    <w:p>
      <w:r>
        <w:t>Nonobstant, comme le relève la recourante, les fiches A02 et A17 du PDCn 2030 encouragent effectivement l’élaboration d'un PDQ pour les grands projets. Cependant, le PDCn 2030 ne rend pas obligatoire de tels plans, et encore moins avant même l’adoption d'une loi de modification de zones. Par ailleurs, la portée du PDCom de Bernex, et notamment de la fiche 5.4 qui prévoit l'adoption d'un PDQ avant toute construction dans le secteur de Vailly, doit de toute manière être relativisée dès lors qu'il devait, au plus tard en avril 2018, faire l’objet d’un nouvel examen, conformément à l’art. 10 al. 9 LaLAT.</w:t>
      </w:r>
    </w:p>
    <w:p>
      <w:r>
        <w:t>- 14/19 - A/3774/2017</w:t>
      </w:r>
    </w:p>
    <w:p>
      <w:r>
        <w:t>Comme le retient à juste titre l'intimé, la loi de modification de zones litigieuse pouvait s'écarter du PDCom de Bernex, ce d'autant plus qu'elle disposait d'un motif légitime pour ce faire consistant dans le respect du PDCn 2030, lequel énumère d'ailleurs, dans le rapport de l’ARE qui y est annexé, ladite modification de zones.</w:t>
      </w:r>
    </w:p>
    <w:p>
      <w:r>
        <w:t>Dès lors, le grief de la recourante doit être écarté. 10) Dans un second grief, la recourante reproche à la loi litigieuse de ne pas prendre en compte le fait que l’addition du déclassement qu'elle vise au « déclassement de facto » des parcelles sises en zone agricole nécessaires pour le P+R provisoire, outrepasserait les limites strictes fixées par le Conseil fédéral lors de l’adoption du PDCn 2030 en matière de déclassement des surfaces affectées à l'agriculture et comprises dans les SDA. 11) a. En vertu de l’art. 26 al. 1 OAT, les SDA font partie du territoire qui se prête à l'agriculture (art. 6 al. 2 let. a LAT) ; elles se composent des terres cultivables comprenant avant tout les terres ouvertes, les prairies artificielles intercalaires et les prairies naturelles arables. Elles sont garanties par des mesures d'aménagement du territoire. Conformément à l’art. 26 al. 3 OAT, une surface totale minimale d'assolement a pour but d'assurer au pays une base d'approvisionnement suffisante, comme l'exige le plan alimentaire, dans l'hypothèse où le ravitaillement serait perturbé.</w:t>
      </w:r>
    </w:p>
    <w:p>
      <w:r>
        <w:t>La Confédération et les cantons veillent à la détermination et au maintien de ces surfaces (art. 27 à 30 OAT). La Confédération fixe dans le plan sectoriel des SDA la surface totale minimale d’assolement et sa répartition entre les cantons (art. 29 OAT).</w:t>
      </w:r>
    </w:p>
    <w:p>
      <w:r>
        <w:t>Au cours de l’élaboration de leur plan directeur (art. 6 à 12 LAT), les cantons circonscrivent les SDA visées à l’art. 26 al. 1 et 2 OAT, dans le cadre de la délimitation des autres parties du territoire qui se prêtent à l’agriculture (art. 28 al. 1 OAT). Ils fixent les SDA par commune, les reportent sur des cartes, les chiffrent et en indiquent l’emplacement exact, l’étendue et la qualité ; ils montrent également celles de ces surfaces qui sont situées dans des zones à bâtir non équipées ou dans d’autres zones non affectées à l’agriculture (art. 28 al. 2 OAT).</w:t>
      </w:r>
    </w:p>
    <w:p>
      <w:r>
        <w:t>Selon l’art. 30 al. 1 OAT, les cantons veillent à ce que les SDA soient classées en zone agricole ; ils indiquent dans leur plan directeur les mesures nécessaires à cet effet.</w:t>
      </w:r>
    </w:p>
    <w:p>
      <w:r>
        <w:t>En vertu de l’art. 30 al. 1bis OAT, des SDA ne peuvent être classées en zone à bâtir que lorsqu'un objectif, que le canton également estime important, ne peut pas être atteint judicieusement sans recourir aux SDA (let. a) ; et lorsqu'il peut être</w:t>
      </w:r>
    </w:p>
    <w:p>
      <w:r>
        <w:t>- 15/19 - A/3774/2017 assuré que les surfaces sollicitées seront utilisées de manière optimale selon l'état des connaissances (let. b).</w:t>
      </w:r>
    </w:p>
    <w:p>
      <w:r>
        <w:t>b. À teneur du rapport d’examen de l’ARE du 13 avril 2015, accompagnant la décision du Conseil fédéral du 29 avril 2015 approuvant le PDCn 2030, seules pourront être mises en vigueur d'ici à la prochaine adaptation du PDCn 2030 les planifications conformes au programme établi par l'horizon 2023 qui ont dépassé le stade de l'information préalable, sous réserve du respect de l'art. 30 al. 1 bis OAT (p. 29 et 30). Le plan de zone litigieux y est expressément énuméré.</w:t>
      </w:r>
    </w:p>
    <w:p>
      <w:r>
        <w:t>c. La chambre administrative a confirmé à plusieurs reprises que la zone de développement 3 se substituant à une zone agricole peut être assimilée à une zone dont l'affectation est différée au sens de l'art. 18 al. 2 LAT. Par conséquent, une loi qui modifie les limites de zones en substituant de la zone de développement 3 à de la zone agricole ne crée pas de nouvelles zones à bâtir. Elle constitue une mesure d’aménagement du territoire qui consiste en un changement d’affectation qui n’est pas visé par l’exigence du respect des valeurs de planification (ATA/557/2015 précité consid. 5f et les références citées).</w:t>
      </w:r>
    </w:p>
    <w:p>
      <w:r>
        <w:t>Dans un arrêt récent, la chambre de céans a relevé que le projet de modification de limites de zones prévoyant, notamment, un déclassement en zone de développement 3 et en zone de développement 4A ne créait pas de nouvelles zones à bâtir. La mesure d’aménagement du territoire querellée consistait alors en un changement d’affectation qui n’était pas visé par les exigences de l’art. 30 al. 1bis OAT, cette disposition ne s’appliquant que s’il s’agissait de classer des SDA en zone à bâtir. Le fait que cette disposition ne s’appliquait pas à ce stade ne signifiait toutefois pas qu’un blanc-seing était délivré aux autorités dans la planification générale. En revanche, l’utilisation optimale de ces SDA, au sens de l’art. 30 al. 1bis let. b OAT, ne pouvait être mesurée qu’au moment de l’adoption du PLQ subséquent, qui matérialiserait les objectifs des zones créées par le projet de loi querellé (ATA/495/2018 précité consid. 14b). 12) Il y a lieu de relever, à titre préalable, que le périmètre concerné par la loi de modification de zones querellée n'inclut pas les terrains sis en zone agricole où est envisagée la réalisation du P+R de Vailly, ce que ne conteste d'ailleurs pas la recourante. Dès lors, lesdits terrains n'ont pas à être pris en compte pour déterminer si la loi litigieuse respecte les limites fixées par le Conseil fédéral lors de l’adoption du PDCn 2030 en matière de déclassement des surfaces affectées à l'agriculture et comprises dans les SDA. En effet, la recourante ne saurait par ce biais tenter de remettre en cause la construction du P+R de Vailly au lieu auquel celui-ci est projeté, soit en dehors du secteur visé par la présente cause.</w:t>
      </w:r>
    </w:p>
    <w:p>
      <w:r>
        <w:t>En l'occurrence, le plan de zones litigieux est expressément listé en pages 29 et 30 du rapport d’examen de l’ARE du 13 avril 2015. Dès lors, au stade actuel de la présente modification des limites de zones, il ne peut qu'être constaté que cette</w:t>
      </w:r>
    </w:p>
    <w:p>
      <w:r>
        <w:t>- 16/19 - A/3774/2017 emprise agricole a été validée par le Conseil fédéral. La DGAN s’est d'ailleurs déclarée favorable au projet, sans émettre d'autres observations. L'utilisation optimale des SDA, au sens de l’art. 30 al. 1bis let. b OAT, ne pourra quant à elle, conformément à la jurisprudence susmentionnée, qu'être vérifiée au stade ultérieur des PLQ.</w:t>
      </w:r>
    </w:p>
    <w:p>
      <w:r>
        <w:t>Pour le surplus, le fait que le futur P+R de Vailly puisse être ou non qualifié de provisoire est sans incidence sur ce qui précède.</w:t>
      </w:r>
    </w:p>
    <w:p>
      <w:r>
        <w:t>Par conséquent, ce second grief sera également écarté. 13) Dans un dernier grief, la recourante considère que le déclassement en zone de développement 3, au lieu de la zone de développement 4B, serait inopportun et violerait le PDCn et le PDCom en imposant une densification plus importante que celle prévue par ces derniers.</w:t>
      </w:r>
    </w:p>
    <w:p>
      <w:r>
        <w:t>a. Comme cela a été rappelé au consid. 3c du présent arrêt, la chambre de céans ne peut revoir une telle question que sous l’angle de la légalité, l’opportunité d’une telle modification devant être examinée au stade de l’opposition par le Grand Conseil, lequel dispose d’un plein pouvoir d’examen s'étendant à l'opportunité.</w:t>
      </w:r>
    </w:p>
    <w:p>
      <w:r>
        <w:t>Le déclassement du périmètre concerné en zone de développement 4B préconisé par la recourante relève de l’opportunité et cette question, tranchée par le Grand Conseil au stade de l’opposition, ne peut en conséquence être examinée par la chambre de céans.</w:t>
      </w:r>
    </w:p>
    <w:p>
      <w:r>
        <w:t>b. S'agissant de l'éventuelle violation du PDCn et du PDCom, la position de la recourante ne saurait être suivie.</w:t>
      </w:r>
    </w:p>
    <w:p>
      <w:r>
        <w:t>La fiche A05 du PDCn 2030, qui traite de la mise en œuvre des extensions urbaines en zone agricole, précise qu'en périphérie de la structure urbaine, une densité élevée doit le plus souvent être recherchée dans les extensions urbaines sur la zone agricole afin d’en limiter l’emprise (p. 77). La fiche P04 du PDCn 2030, relative au « grand projet de Bernex », prévoit notamment, aux titres des objectifs d’aménagement, de développer une urbanisation compacte, avec une densité élevée et des formes urbaines diversifiées (p. 302).</w:t>
      </w:r>
    </w:p>
    <w:p>
      <w:r>
        <w:t>La carte n° 1, annexes aux fiches A01 à A08 du PDCn 2030 traitant des principes de densification, prévoit, à teneur de sa légende, pour le périmètre objet de la loi litigieuse, une « densification modérée à intermédiaire : ID minimal = 1 à 1,8 ».</w:t>
      </w:r>
    </w:p>
    <w:p>
      <w:r>
        <w:t>Selon l’introduction au schéma directeur du PDCn 2030, les zones de développement 3 ont des ID minimum de 1,8 et des IUS minimum de 1,2 tandis qu’en zone de développement 4B, les ID et IUS minimum sont moins denses, soit</w:t>
      </w:r>
    </w:p>
    <w:p>
      <w:r>
        <w:t>- 17/19 - A/3774/2017 de 0,8, respectivement, 0,6 (p. 42). Le PDCn 2030 est conforme à l'art. 2A al. 2 let. b LGZD lequel prévoit qu'un ID minimal de 1,8 est applicable en zone de développement 3.</w:t>
      </w:r>
    </w:p>
    <w:p>
      <w:r>
        <w:t>Le PDCn 2030 précise encore que, sauf pour la zone villas, il n’est pas prévu d’indices ou de fourchettes d’indices maximum, mais seulement des fourchettes d’indices minimum à respecter selon les quartiers. Ainsi, un PLQ portant sur un secteur en principe voué à une densification modérée à intermédiaire peut prévoir un IUS supérieur au minimum requis pour un secteur à densification forte ou très forte. À titre d’exemple, en zone de développement 3, un PLQ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(Introduction au schéma directeur du PDCn 2030, p. 42).</w:t>
      </w:r>
    </w:p>
    <w:p>
      <w:r>
        <w:t>Dans sa jurisprudence, la chambre administrative a déjà eu l'occasion de relever que ce n’est qu’au stade de l'adoption des PLQ  obligatoires en zone de développement conformément à l'art. 2 al. 1 LGZD  que l'IUS et l'ID seront déterminés et pourront le cas échéant être contestés par les particuliers (ATA/595/2016 précité consid. 6e).</w:t>
      </w:r>
    </w:p>
    <w:p>
      <w:r>
        <w:t>Dès lors, contrairement à ce qu'invoque la recourante, le choix de la zone de développement 3, qui n'implique qu'un ID minimal de 1,8, ne viole pas le PDCn 2030, dès lors que ce dernier ne fixe pas d'ID maximal. Par ailleurs, la recourante n'expose pas pour quel motif le déclassement en zone de développement 3 et la densification prévue par la loi litigieuse violeraient le PDCom de Bernex, étant relevé que la loi litigieuse pouvait de toute manière s'écarter de celui-ci comme rappelé au consid. 9. Il ressort du plan de synthèse urbanisation/transport/paysage du PDCom de Bernex que le périmètre en question fait partie des zones à développer à l'horizon 2015-2020, sans autre réserve quant à sa densification.</w:t>
      </w:r>
    </w:p>
    <w:p>
      <w:r>
        <w:t>Ce dernier grief sera en conséquence également écarté. 14) En tous points mal fondé, le recours sera rejeté. 15) Vu l’issue du litige, un émolument de CHF 1'000.- sera mis à la charge de la recourante (art. 87 al. 1 LPA). Il ne sera pas alloué d’indemnité de procédure (art. 87 al. 2 LPA).</w:t>
      </w:r>
    </w:p>
    <w:p>
      <w:r>
        <w:t>* * * * *</w:t>
      </w:r>
    </w:p>
    <w:p>
      <w:r>
        <w:t>- 18/19 - A/3774/2017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