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ATA/65/2020 vom 21. Januar 2020</w:t>
      </w:r>
    </w:p>
    <w:p>
      <w:r>
        <w:t>GE Cour de justice, 2020-01-21, FR</w:t>
      </w:r>
    </w:p>
    <w:p>
      <w:r>
        <w:rPr>
          <w:b/>
        </w:rPr>
        <w:t xml:space="preserve">Quelle: </w:t>
      </w:r>
      <w:r>
        <w:t>https://mcp.opencaselaw.ch/entscheid/ge_gerichte_ATA_65_2020</w:t>
      </w:r>
    </w:p>
    <w:p>
      <w:r>
        <w:t>FR: GE_GERICHTE ATA/65/2020 du 21 janvier 2020</w:t>
      </w:r>
    </w:p>
    <w:p>
      <w:r>
        <w:t>IT: GE_GERICHTE ATA/65/2020 del 21 gennaio 2020</w:t>
      </w:r>
    </w:p>
    <w:p>
      <w:pPr>
        <w:pStyle w:val="Heading2"/>
      </w:pPr>
      <w:r>
        <w:t>Regeste</w:t>
      </w:r>
    </w:p>
    <w:p>
      <w:r>
        <w:t>Résumé: Il incombe au bénéficiaire du droit d’habitation et non au nu-propriétaire d’acquitter l’impôt sur la fortune et l’impôt immobilier complémentaire sur l’immeuble grevé de cette servitude personnelle.</w:t>
      </w:r>
    </w:p>
    <w:p>
      <w:pPr>
        <w:pStyle w:val="Heading2"/>
      </w:pPr>
      <w:r>
        <w:t>Erwägungen</w:t>
      </w:r>
    </w:p>
    <w:p>
      <w:r>
        <w:rPr>
          <w:b/>
        </w:rPr>
        <w:t>E. 12</w:t>
      </w:r>
    </w:p>
    <w:p>
      <w:r>
        <w:t>ad art. 778 CC).</w:t>
      </w:r>
    </w:p>
    <w:p>
      <w:r>
        <w:t>c. En matière fiscale, une partie de la doctrine considère que le bénéficiaire d’un droit d’habitation est imposable de la même manière que l’usufruitier. Ce même traitement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w:t>
      </w:r>
    </w:p>
    <w:p>
      <w:r>
        <w:t>Dans un article publié in Revue fiscale 68/2013,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d’habitation, également compte tenu de la pratique appliquée auparavant, selon laquelle, en cas d’existence d’un droit réel d’habitation inscrit au Registre foncier, la chose grevée d’un droit d’habitation est imputée fiscalement au titulaire de ce droit.</w:t>
      </w:r>
    </w:p>
    <w:p>
      <w:r>
        <w:t>d.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w:t>
      </w:r>
    </w:p>
    <w:p>
      <w:r>
        <w:t>- 7/9 - A/2008/2018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LIFD (arrêts du Tribunal fédéral 2C_719/2017 du 26 avril 2019 consid. 2.5.1 ; 2C_892/2014 du 7 mai 2015 consid. 3.2 et les nombreuses références citées).</w:t>
      </w:r>
    </w:p>
    <w:p>
      <w:r>
        <w:t>Le Tribunal fédéral a retenu que lorsque le droit cantonal ne contient aucune disposition équivalente à l’art. 13 al. 2 LHID, qui prévoit que la fortune grevée d’usufruit est imposable auprès de l’usufruitier, il convient d’appliquer cette règlementation à l’imposition cantonale, en vertu de l'art. 72 al. 2 LHID (ibid.).</w:t>
      </w:r>
    </w:p>
    <w:p>
      <w:r>
        <w:t>e.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w:t>
      </w:r>
    </w:p>
    <w:p>
      <w:r>
        <w:t>f. La jurisprudence cantonale a retenu qu’une part de copropriété grevée d’un droit d’habitation ne devait pas être taxée auprès de son propriétaire, au titre de la fortune, mais du bénéficiaire du droit d’habitation (JTAPI/1363/2015 du 23 novembre 2015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(ATA/924/2018 du 11 septembre 2018 consid. 5a, citant Nicolas MERLINO in Yves NOËL/Florence AUBRY GIRARDIN, Commentaire romand - loi fédérale sur l’impôt fédéral direct, 2ème éd., 2017, § 35 et 39, p. 507 et 508).</w:t>
      </w:r>
    </w:p>
    <w:p>
      <w:r>
        <w:t>g. Sur la base de ce qui précède, la chambre de céans a admis, dans l'ATA/1161/2018 du 30 octobre 2018, que dans les circonstances de l'espèce, – acquisition gratuite (le recourant n’ayant pas à verser des prestations périodiques après la transaction), inscription au registre foncier et engagement exprès de l'acheteur à s'acquitter des contributions publiques pendant la durée de son droit d'habitation –, il se justifiait d’imposer le bénéficiaire du droit d’habitation au même titre que l’usufruitier, conformément à la pratique de l’AFC-GE.</w:t>
      </w:r>
    </w:p>
    <w:p>
      <w:r>
        <w:t>- 8/9 - A/2008/2018 4)</w:t>
      </w:r>
    </w:p>
    <w:p>
      <w:r>
        <w:t>En l’espèce, la seule circonstance de fait qui diffère entre la présente cause et celle ayant donné lieu à l'arrêt précité, est l'absence de clause expresse de prise en charge des impôts par la bénéficiaire du droit d'habitation. Contrairement à ce qu'allègue le recourant, cet élément n'est pas décisif, et il y a lieu de confirmer également dans le cas d'espèce la pratique de l'AFC-GE consistant à taxer l'immeuble chez le bénéficiaire du droit de jouissance et non chez le nu-propriétaire.</w:t>
      </w:r>
    </w:p>
    <w:p>
      <w:r>
        <w:t>Mal fondé, le recours sera ainsi rejeté. 5)</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