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ATA/658/2017 vom 13. Juni 2017</w:t>
      </w:r>
    </w:p>
    <w:p>
      <w:r>
        <w:t>GE Cour de justice, 2017-06-13, FR</w:t>
      </w:r>
    </w:p>
    <w:p>
      <w:r>
        <w:rPr>
          <w:b/>
        </w:rPr>
        <w:t xml:space="preserve">Quelle: </w:t>
      </w:r>
      <w:r>
        <w:t>https://mcp.opencaselaw.ch/entscheid/ge_gerichte_ATA_658_2017</w:t>
      </w:r>
    </w:p>
    <w:p>
      <w:r>
        <w:t>FR: GE_GERICHTE ATA/658/2017 du 13 juin 2017</w:t>
      </w:r>
    </w:p>
    <w:p>
      <w:r>
        <w:t>IT: GE_GERICHTE ATA/658/2017 del 13 giugno 2017</w:t>
      </w:r>
    </w:p>
    <w:p>
      <w:pPr>
        <w:pStyle w:val="Heading2"/>
      </w:pPr>
      <w:r>
        <w:t>Erwägungen</w:t>
      </w:r>
    </w:p>
    <w:p>
      <w:r>
        <w:rPr>
          <w:b/>
        </w:rPr>
        <w:t>E. 12</w:t>
      </w:r>
    </w:p>
    <w:p>
      <w:r>
        <w:t>septembre 1985 - LPA - E 5 10). 2) a. À teneur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w:t>
      </w:r>
    </w:p>
    <w:p>
      <w:r>
        <w:t>- 4/11 - A/1419/2017 consid. 2c/aa p. 43 ; arrêt du Tribunal fédéral 1A.47/2002 du 16 avril 2002 consid. 3 ; ATA/670/2015 du 23 juin 2015 consid. 2b et les références citées).</w:t>
      </w:r>
    </w:p>
    <w:p>
      <w:r>
        <w:t>c. Un intérêt digne de protection suppose un intérêt actuel à obtenir l’annulation de la décision attaquée (ATF 135 I 79 consid. 1 p. 81 ; 128 II 34 consid. 1b p. 36 ; ATA/1066/2015 du 6 octobre 2015).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ATA/670/2015 précité consid. 2c et les références citées) ou déclaré irrecevable (ATF 123 II 285 consid. 4 p. 286 ss ; ATA/670/2015 précité consid. 2c et les références citées).</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ATA/670/2015 précité consid. 2d et les références citées)</w:t>
      </w:r>
    </w:p>
    <w:p>
      <w:r>
        <w:t>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(ATA/309/2016 du 12 avril 2016 ; ATA/670/2015 précité consid. 2 ; ATA/183/2013 du 19 mars 2013 et la jurisprudence citée), dès lors qu'il est actuellement toujours détenu à Champ-Dollon. Il en va de même de la suppression de travail, dont la durée est indéterminée.</w:t>
      </w:r>
    </w:p>
    <w:p>
      <w:r>
        <w:t>Le recours est ainsi pleinement recevable. 3)</w:t>
      </w:r>
    </w:p>
    <w:p>
      <w:r>
        <w:t>Le recourant conteste le bien-fondé de la décision du 8 avril 2017 du directeur, consistant en la mise en cellule forte pour trois jours et la suppression du travail.</w:t>
      </w:r>
    </w:p>
    <w:p>
      <w:r>
        <w:t>4)</w:t>
      </w:r>
    </w:p>
    <w:p>
      <w:r>
        <w:t>Le statut des personnes incarcérées à la prison est régi par le règlement sur le régime intérieur de la prison et le statut des personnes incarcérées du 30 septembre 1985 (RRIP - F 1 50.04 ; art. 5 al. 2 let. i et 6 al. 1 let. f loi d’application du code pénal suisse et d’autres lois fédérales en matière pénale du 27 août 2009 (LaCP - E 4 10). 5) a. Les détenus doivent observer les dispositions du RRIP, les instructions du directeur général de l'office cantonal de la détention, ainsi que les ordres du directeur et du personnel pénitentiaire (art. 42 RRIP). En toute circonstance, les</w:t>
      </w:r>
    </w:p>
    <w:p>
      <w:r>
        <w:t>- 5/11 - A/1419/2017 détenus doivent observer une attitude correcte à l’égard du personnel pénitentiaire, des autres personnes incarcérées et des tiers (art. 44 RRIP).</w:t>
      </w:r>
    </w:p>
    <w:p>
      <w:r>
        <w:t>Il est interdit aux détenus notamment d’introduire ou de faire introduire dans l’établissement d’autres objets que ceux autorisés par le directeur (art. 45 let. e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À teneur de l’art. 47 al. 3 RRIP, le directeur ou, en son absence, son suppléant sont compétents pour prononcer la suppression de visite pour quinze jours au plus (let. a) ; la suppression des promenades collectives (let. b) ; suppression des activités sportives (let. c) ; la suppression d’achat pour quinze jours au plus (let. d) ; la suppression de l’usage des moyens audiovisuels pour quinze jours au plus (let. e) ; la privation de travail (let. f) ; le placement en cellule forte pour dix jours au plus (let. g), étant précisé que ces sanctions peuvent se cumuler (art. 47 al. 4 RRIP).</w:t>
      </w:r>
    </w:p>
    <w:p>
      <w:r>
        <w:t>L'exécution de la sanction peut être prononcée avec sursis ou un sursis partiel de six mois au maximum (art. 47 al. 5 RRIP). Le sursis à l'exécution peut être révoqué lorsque la personne détenue fait l'objet d'une nouvelle sanction durant le délai d'épreuve (art. 47 al. 6 RRIP).</w:t>
      </w:r>
    </w:p>
    <w:p>
      <w:r>
        <w:t>Le directeur peut déléguer la compétence de prononcer les sanctions prévues à l'al. 3 à d'autres membres du personnel gradé. Les modalités de la délégation sont prévues dans un ordre de service (art. 47 al. 7 RRIP).</w:t>
      </w:r>
    </w:p>
    <w:p>
      <w:r>
        <w:t>b.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w:t>
      </w:r>
    </w:p>
    <w:p>
      <w:r>
        <w:t>- 6/11 - A/1419/2017</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(ATA/79/2016 du 26 janvier 2016 consid. 5 ; ATA/972/2015 du 22 septembre 2015 et les références citées).</w:t>
      </w:r>
    </w:p>
    <w:p>
      <w:r>
        <w:t>c. 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3 al. 1 let. a et al. 2 LOPP), le même raisonnement peut être appliqué aux rapports établis par ces derniers (ATA/79/2016 précité consid. 5 ; ATA/295/2015 du 24 mars 2015).</w:t>
      </w:r>
    </w:p>
    <w:p>
      <w:r>
        <w:t>d. En l’espèce, aucun élément du dossier ne permet de remettre en question le rapport établi par l’agent de détention, le recourant se limitant à opposer sa version des faits à celle constatée par le gardien. Il n’y a pas de raison de douter du fait que lors de son audition, le détenu n’a pas été informé ni du type de substance ni de la quantité concernée. Dès lors, il doit être retenu que le détenu était au courant de l’existence des boulettes dans la cellule, de leur substance et de leur quantité et en était, à ce titre, copossesseur, quand bien même il aurait été utile que l’analyse du produit ou les éventuelles traces ADN qui auraient pu se trouver sur les objets litigieux ressortent du dossier. Ces faits sont de nature à entraîner le prononcé d’une sanction. 6)</w:t>
      </w:r>
    </w:p>
    <w:p>
      <w:r>
        <w:t>La sanction doit être conforme au principe de la proportionnalité.</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w:t>
      </w:r>
    </w:p>
    <w:p>
      <w:r>
        <w:t>- 7/11 - A/1419/2017 consid. 2c ; ATA/295/2015 du 24 mars 2015 consid. 7 ; ATA/735/2013 du 5 novembre 2013 consid. 11). 7)</w:t>
      </w:r>
    </w:p>
    <w:p>
      <w:r>
        <w:t>Dans sa jurisprudence récente, la chambre de céans a eu à statuer sur des recours de détenus contre des décisions de sanction consistant en leur placement en cellule forte pour la détention d’objets autres que ceux qui leur sont remis (art. 45 let. e RIPP).</w:t>
      </w:r>
    </w:p>
    <w:p>
      <w:r>
        <w:t>a. Dans un ATA/264/2017 du 7 mars 2017 (consid. 5), la chambre administrative a confirmé que la découverte d’un rasoir modifié en arme lors de la fouille complète d’une cellule, introduit dans la cellule à une période à laquelle le recourant y résidait, impliquait qu’il devait en connaître l’existence et l’emplacement, et qu’il en était le détenteur avec son codétenu, lequel avait également été sanctionné pour ce fait. Il ne s’agissait pas d’une sanction collective. Compte tenu de la dangerosité incontestable de l’objet en cause, la mise en cellule forte du recourant pendant trois jours apparaissait conforme au principe de la proportionnalité.</w:t>
      </w:r>
    </w:p>
    <w:p>
      <w:r>
        <w:t>b. Une sanction de cinq jours de cellule forte a été jugée proportionnée pour la détention d’un téléphone portable pour quelqu’un avec des antécédents disciplinaires (ATA/183/2013 du 19 mars 2013). Au vu de l'ensemble des circonstances, y compris l’audition par le juge délégué d’un agent de détention, il apparaissait vraisemblable que le recourant ait bien été le détenteur du téléphone portable retrouvé en pièces détachées par un gardien en dessous de la fenêtre de sa cellule.</w:t>
      </w:r>
    </w:p>
    <w:p>
      <w:r>
        <w:t>c.</w:t>
      </w:r>
    </w:p>
    <w:p>
      <w:r>
        <w:t>Dans l’ATA/1263/2015 du 24 novembre 2015 (consid. 6), le recourant se plaignait d'avoir été puni à tort et que le véritable propriétaire des objets prohibés retrouvés dans la cellule (une clé USB noire, un téléphone emballé dans de l'aluminium, une clé de voiture, un chargeur et une lame de rasoir trafiquée dans une veste appartenant à l'un des codétenus) n'avait pas été sanctionné car il bénéficiait de la complicité des surveillants qui lui livreraient des téléphones et des médicaments. Le complément d'enquête, faisant suite à la dénonciation des faits par la chambre de céans au Ministère public, avait révélé que les allégations du recourant n’avaient pas pu être étayées. L'argumentation soutenue par ce dernier n'était dès lors pas crédible. En outre, l'attitude du recourant durant l'enquête consistant à prétendre « n'avoir rien vu ni entendu » de ce qu'il se passait au sein d'un espace fermé à l'intérieur duquel il se trouvait avec ses codétenus était d'une part, invraisemblable, et d'autre part, en totale contradiction avec les faits qu'il avait dévoilés à l'appui de son recours, puis confirmés lors de son audition devant l'Inspection générale des services. Au vu des éléments du dossier et, compte tenu de la nature de l'infraction disciplinaire, de son contexte et du fait que le recourant s'était lui-même retrouvé en possession d'objets durant l'exécution de la sanction litigieuse, la décision de sanctionner, ainsi que la quotité de la sanction</w:t>
      </w:r>
    </w:p>
    <w:p>
      <w:r>
        <w:t>- 8/11 - A/1419/2017 infligée de cinq jours de cellule forte, étaient justifiées et respectaient le principe de la proportionnalité.</w:t>
      </w:r>
    </w:p>
    <w:p>
      <w:r>
        <w:t>d. À l’inverse, une sanction a été jugée illicite dans l’ATA/1085/2016 du 20 décembre 2016 (consid. 9). Le recourant était en cellule forte pendant six jours au moment de la découverte, dans sa cellule, partagée avec des codétenus, d’un téléphone portable. Il subissait des fouilles à nu après chaque parloir. Lors d’une précédente fouille six mois plus tôt de ladite cellule, alors que plusieurs objets prohibés avaient été découverts, le recourant et un autre détenu, après leur audition, n’avaient pas été sanctionnés. Le recourant avait cependant été sanctionné pour détention d’un objet prohibé un an auparavant. Toutefois, aucun rapport au dossier ne précisait de quel type d’objet il s’agissait à ce moment-là. Pourtant, dans les autres cas cités de découvertes d’objets interdits en cellule, soit le 7 juillet 2014 et le 14 janvier 2015, les rapports faisaient état respectivement, d’une clé USB, d’un téléphone emballé dans l’aluminium, d’une clé de voiture, d’un chargeur et d’une lame de rasoir trafiquée, ainsi que d’un téléphone et de son chargeur. Par ailleurs, en tenant compte du fait que le recourant rencontrait son épouse au moins une fois par semaine, son intérêt à la détention d’un téléphone apparaissait faible par rapport au risque d’être sanctionné en cas de sa découverte dans sa cellule. En tout état, la sanction disciplinaire prononcée ne pouvait pas être envisagée sous l’angle d’une punition collective en raison du principe de l’individualisation de la sanction. Le directeur de la prison avait du reste justifié le placement en cellule forte du recourant non comme une sanction collective, mais comme une sanction individuelle, celui-ci ayant pu faire usage du téléphone en cause. Aucun indice ne venait cependant, dans le dossier, corroborer ce soupçon d’utilisation du téléphone en cause. Dans ces circonstances, le grief d’avoir été impliqué à tort dans l’introduction du téléphone en cause dans la cellule et dans son utilisation devait être considéré comme fondé. La sanction que le recourant avait subie à ce titre n’était dès lors pas conforme au droit.</w:t>
      </w:r>
    </w:p>
    <w:p>
      <w:r>
        <w:t>e. Dans l’ATA/295/2015 du 24 mars 2015, le recourant contestait la proportionnalité de la décision. Il ne semblait pas remettre en cause la proportionnalité de la mise en cellule forte, mais concentrait ses griefs contre la privation de travail. La décision respectait la règle d’aptitude et de la proportionnalité au sens étroit. Celle de la nécessité était respectée dès lors que le détenu avait déjà fait l’objet d’une sanction consistant en trois jours de cellule forte pour injures envers le personnel puis, quelques mois plus tard, d’une suppression d’emploi couplée avec un jour de cellule forte. Par la suite, ayant retrouvé un emploi, il avait fait l’objet d’une suspension temporaire de travail pour trois jours. Il avait été dûment averti à cette occasion qu’en cas de récidive, une suppression de sa place de travail serait envisagée. Dans ces conditions, la suppression d’emploi couplée avec trois jours de cellule forte apparaissait cohérente tant avec les précédentes sanctions qu’avec l’avertissement dont le détenu avait fait l’objet. La mesure respectait le principe de la proportionnalité dès</w:t>
      </w:r>
    </w:p>
    <w:p>
      <w:r>
        <w:t>- 9/11 - A/1419/2017 lors que, même sans indication de durée, elle n’était pas illimitée, l’intéressé conservant le droit de s’inscrire à nouveau, de sorte qu’il ne perdait pas la possibilité de travailler en atelier (ATA/307/2013 du 14 mai 2013 consid. 8). Elle l’était d’autant plus que le recourant avait déjà fait l’objet de sanctions et qu’il avait spécifiquement été averti qu’en cas de récidive, il serait privé de travail. Il ressortait par ailleurs du dossier qu’à la suite de la précédente mesure de suppression de travail, il avait pu retrouver un emploi un mois plus tard. Enfin, le droit d’exercer une activité au sein de la prison impliquait, en contrepartie, le respect absolu des règles de discipline (ATA/505/2012 du 31 juillet 2012 consid. 4). Le détenu s’était d’ailleurs engagé à respecter ces règles en signant la convention de travail qui rappelait que les détenus travaillant aux ateliers devaient faire preuve, à tout moment, d’une attitude correcte envers le personnel. 8)</w:t>
      </w:r>
    </w:p>
    <w:p>
      <w:r>
        <w:t>En l’espèce, il est établi que le comportement adopté par le recourant justifie une sanction.</w:t>
      </w:r>
    </w:p>
    <w:p>
      <w:r>
        <w:t>Le recourant n’a fait l’objet d’aucun rapport d’incident ni d’aucune sanction avant celle du 8 avril 2017 depuis le début de sa détention le 16 novembre 2016. Ses antécédents disciplinaires sont ainsi favorables.</w:t>
      </w:r>
    </w:p>
    <w:p>
      <w:r>
        <w:t>Dans ces conditions la sanction comprenant trois jours de cellule forte et la suppression du travail – même avec la possibilité de se réinscrire mentionnée uniquement dans les observations du directeur devant la chambre de céans et dont il lui sera donné acte – apparaît disproportionnée en l’absence d’incident antérieur ayant entraîné un placement en cellule forte ou d’un avertissement selon lequel il risquerait de perdre sa place de travail, voire d’une suspension temporaire de travail pour un temps limité, voire même, conformément à la nouvelle teneur de l’art. 47 al. 5 et 6 RRIP, une sanction de privation de travail avec sursis.</w:t>
      </w:r>
    </w:p>
    <w:p>
      <w:r>
        <w:t>La sanction apparaît aussi disproportionnée au vu de celle infligée au codétenu pour copossession des boulettes litigieuses laquelle s’est limitée, pour les mêmes faits, à trois jours de cellule forte. Les questions de savoir si le codétenu avait un emploi au sein de la prison et s’il avait des antécédents ne ressortent pas du dossier.</w:t>
      </w:r>
    </w:p>
    <w:p>
      <w:r>
        <w:t>La privation de travail ayant été effective depuis le 8 avril 2017, il n’est matériellement plus possible de l’annuler pour le passé. La chambre de céans se limitera à constater son caractère illicite (ATA/238/2016 déjà cité et les références mentionnées) et à inviter l’intimée à fournir au plus vite une nouvelle place de travail au recourant, ainsi qu’à veiller à ce qu’il n’encoure aucune sanction financière de ce chef, la direction de la prison versant au prévenu une rémunération, dont le montant et l’utilisation sont régis par les directives adoptées par la Conférence des autorités cantonales compétentes en matière pénitentiaire, applicables par analogie, à l'exception des dispositions relatives à la répartition de la rémunération en trois parts (art. 51 al. 2 RRIP).</w:t>
      </w:r>
    </w:p>
    <w:p>
      <w:r>
        <w:t>- 10/11 - A/1419/2017</w:t>
      </w:r>
    </w:p>
    <w:p>
      <w:r>
        <w:t>Le recourant est toutefois averti qu’en cas de récidive une privation de travail pourrait être considérée comme proportionnée compte tenu du présent arrêt. 9)</w:t>
      </w:r>
    </w:p>
    <w:p>
      <w:r>
        <w:t>Au vu de ce qui précède, le recours sera partiellement admis. 10) Vu la nature du litige, aucun émolument ne sera perçu (art. 87 al. 1 LPA ; art. 12 al. 1 du règlement sur les frais, émoluments et indemnités en procédure administrative du 30 juillet 1986 - RFPA - E 5 10.03). Aucune indemnité de procédure ne sera allouée, le recourant ayant agi en personne.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